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C139" w14:textId="77777777" w:rsidR="009D677B" w:rsidRPr="00EC14DE" w:rsidRDefault="009D677B" w:rsidP="007C594F">
      <w:pPr>
        <w:widowControl w:val="0"/>
        <w:jc w:val="left"/>
      </w:pPr>
    </w:p>
    <w:p w14:paraId="15AEB2ED" w14:textId="77777777" w:rsidR="006E64E3" w:rsidRPr="006E64E3" w:rsidRDefault="006E64E3" w:rsidP="00EA32EB">
      <w:pPr>
        <w:pStyle w:val="Titolo1"/>
        <w:keepNext w:val="0"/>
        <w:keepLines w:val="0"/>
        <w:widowControl w:val="0"/>
        <w:tabs>
          <w:tab w:val="center" w:pos="4819"/>
          <w:tab w:val="left" w:pos="6912"/>
        </w:tabs>
      </w:pPr>
      <w:bookmarkStart w:id="0" w:name="_Toc528744392"/>
      <w:r>
        <w:t xml:space="preserve">Disegno di legge di bilancio </w:t>
      </w:r>
      <w:r w:rsidR="00EA32EB">
        <w:t>di previsione dello Stato per l’</w:t>
      </w:r>
      <w:r w:rsidRPr="006E64E3">
        <w:t>anno finanziario 202</w:t>
      </w:r>
      <w:r w:rsidR="00EA32EB">
        <w:t>2</w:t>
      </w:r>
      <w:r w:rsidRPr="006E64E3">
        <w:t xml:space="preserve"> e bilancio plurie</w:t>
      </w:r>
      <w:r w:rsidR="00EA32EB">
        <w:t>nnale per il triennio 2022-2024</w:t>
      </w:r>
    </w:p>
    <w:p w14:paraId="6A12F474" w14:textId="77777777" w:rsidR="0064353A" w:rsidRPr="00EC14DE" w:rsidRDefault="0064353A" w:rsidP="006E64E3">
      <w:pPr>
        <w:pStyle w:val="Titolo1"/>
        <w:rPr>
          <w:noProof/>
        </w:rPr>
      </w:pPr>
      <w:r w:rsidRPr="00EC14DE">
        <w:t>Sezione</w:t>
      </w:r>
      <w:r w:rsidRPr="00EC14DE">
        <w:rPr>
          <w:noProof/>
        </w:rPr>
        <w:t xml:space="preserve"> I</w:t>
      </w:r>
      <w:bookmarkEnd w:id="0"/>
    </w:p>
    <w:p w14:paraId="7438F57B" w14:textId="77777777" w:rsidR="0064353A" w:rsidRPr="00EC14DE" w:rsidRDefault="0064353A" w:rsidP="007C594F">
      <w:pPr>
        <w:pStyle w:val="Titolo1"/>
        <w:keepNext w:val="0"/>
        <w:keepLines w:val="0"/>
        <w:widowControl w:val="0"/>
        <w:rPr>
          <w:noProof/>
        </w:rPr>
      </w:pPr>
      <w:bookmarkStart w:id="1" w:name="_Toc528744393"/>
      <w:r w:rsidRPr="00EC14DE">
        <w:rPr>
          <w:noProof/>
        </w:rPr>
        <w:t>Titolo I</w:t>
      </w:r>
      <w:r w:rsidRPr="00EC14DE">
        <w:rPr>
          <w:noProof/>
        </w:rPr>
        <w:br/>
        <w:t xml:space="preserve">Risultati differenziali </w:t>
      </w:r>
      <w:r w:rsidRPr="00EC14DE">
        <w:t>del</w:t>
      </w:r>
      <w:r w:rsidRPr="00EC14DE">
        <w:rPr>
          <w:noProof/>
        </w:rPr>
        <w:t xml:space="preserve"> bilancio dello Stato</w:t>
      </w:r>
      <w:bookmarkEnd w:id="1"/>
      <w:r w:rsidRPr="00EC14DE">
        <w:rPr>
          <w:noProof/>
        </w:rPr>
        <w:t xml:space="preserve"> </w:t>
      </w:r>
    </w:p>
    <w:p w14:paraId="482E6CBD" w14:textId="77777777" w:rsidR="0064353A" w:rsidRPr="00EC14DE" w:rsidRDefault="00DD6550" w:rsidP="007C594F">
      <w:pPr>
        <w:pStyle w:val="Titolo3"/>
        <w:keepNext w:val="0"/>
        <w:keepLines w:val="0"/>
        <w:widowControl w:val="0"/>
      </w:pPr>
      <w:bookmarkStart w:id="2" w:name="_Toc528744394"/>
      <w:r w:rsidRPr="00EC14DE">
        <w:t xml:space="preserve">ART. </w:t>
      </w:r>
      <w:r w:rsidRPr="00EC14DE">
        <w:fldChar w:fldCharType="begin"/>
      </w:r>
      <w:r w:rsidRPr="00EC14DE">
        <w:instrText xml:space="preserve"> AUTONUM  \* Arabic </w:instrText>
      </w:r>
      <w:r w:rsidRPr="00EC14DE">
        <w:fldChar w:fldCharType="end"/>
      </w:r>
      <w:r w:rsidR="0064353A" w:rsidRPr="00EC14DE">
        <w:br/>
        <w:t>(Risultati differenziali bilancio dello Stato)</w:t>
      </w:r>
      <w:bookmarkEnd w:id="2"/>
    </w:p>
    <w:p w14:paraId="380E6EA5" w14:textId="77777777" w:rsidR="004B3A7B" w:rsidRPr="00EC14DE" w:rsidRDefault="004B3A7B" w:rsidP="007C594F">
      <w:pPr>
        <w:pStyle w:val="Paragrafoelenco"/>
        <w:widowControl w:val="0"/>
        <w:spacing w:line="240" w:lineRule="auto"/>
        <w:ind w:left="-142"/>
        <w:jc w:val="both"/>
        <w:rPr>
          <w:rFonts w:ascii="Times New Roman" w:hAnsi="Times New Roman" w:cs="Times New Roman"/>
          <w:szCs w:val="24"/>
        </w:rPr>
      </w:pPr>
      <w:r w:rsidRPr="00EC14DE">
        <w:rPr>
          <w:rFonts w:ascii="Times New Roman" w:hAnsi="Times New Roman" w:cs="Times New Roman"/>
          <w:szCs w:val="24"/>
        </w:rPr>
        <w:t>l. I livelli massimi del saldo netto da finanziare, in termini di competenza e di cassa, e del ricorso al mercato finanziario, in termini di competenza, di cui all'articolo 21, comma 1-ter, lettera a), della legge 31 dicembre 2009, n. 196, per gli anni 202</w:t>
      </w:r>
      <w:r w:rsidR="00FB69F3" w:rsidRPr="00EC14DE">
        <w:rPr>
          <w:rFonts w:ascii="Times New Roman" w:hAnsi="Times New Roman" w:cs="Times New Roman"/>
          <w:szCs w:val="24"/>
        </w:rPr>
        <w:t>2</w:t>
      </w:r>
      <w:r w:rsidRPr="00EC14DE">
        <w:rPr>
          <w:rFonts w:ascii="Times New Roman" w:hAnsi="Times New Roman" w:cs="Times New Roman"/>
          <w:szCs w:val="24"/>
        </w:rPr>
        <w:t>, 202</w:t>
      </w:r>
      <w:r w:rsidR="00FB69F3" w:rsidRPr="00EC14DE">
        <w:rPr>
          <w:rFonts w:ascii="Times New Roman" w:hAnsi="Times New Roman" w:cs="Times New Roman"/>
          <w:szCs w:val="24"/>
        </w:rPr>
        <w:t>3</w:t>
      </w:r>
      <w:r w:rsidRPr="00EC14DE">
        <w:rPr>
          <w:rFonts w:ascii="Times New Roman" w:hAnsi="Times New Roman" w:cs="Times New Roman"/>
          <w:szCs w:val="24"/>
        </w:rPr>
        <w:t xml:space="preserve"> e 202</w:t>
      </w:r>
      <w:r w:rsidR="00FB69F3" w:rsidRPr="00EC14DE">
        <w:rPr>
          <w:rFonts w:ascii="Times New Roman" w:hAnsi="Times New Roman" w:cs="Times New Roman"/>
          <w:szCs w:val="24"/>
        </w:rPr>
        <w:t>4</w:t>
      </w:r>
      <w:r w:rsidR="00D12E0B" w:rsidRPr="00EC14DE">
        <w:rPr>
          <w:rFonts w:ascii="Times New Roman" w:hAnsi="Times New Roman" w:cs="Times New Roman"/>
          <w:szCs w:val="24"/>
        </w:rPr>
        <w:t xml:space="preserve">, sono indicati </w:t>
      </w:r>
      <w:r w:rsidR="00D12E0B" w:rsidRPr="00EC14DE">
        <w:rPr>
          <w:rFonts w:ascii="Times New Roman" w:hAnsi="Times New Roman" w:cs="Times New Roman"/>
          <w:b/>
          <w:szCs w:val="24"/>
        </w:rPr>
        <w:t xml:space="preserve">nell'allegato </w:t>
      </w:r>
      <w:r w:rsidR="00A74016" w:rsidRPr="00EC14DE">
        <w:rPr>
          <w:rFonts w:ascii="Times New Roman" w:hAnsi="Times New Roman" w:cs="Times New Roman"/>
          <w:b/>
          <w:szCs w:val="24"/>
        </w:rPr>
        <w:t>1</w:t>
      </w:r>
      <w:r w:rsidR="00A74016" w:rsidRPr="00EC14DE">
        <w:rPr>
          <w:rFonts w:ascii="Times New Roman" w:hAnsi="Times New Roman" w:cs="Times New Roman"/>
          <w:szCs w:val="24"/>
        </w:rPr>
        <w:t xml:space="preserve"> </w:t>
      </w:r>
      <w:r w:rsidR="00D12E0B" w:rsidRPr="00EC14DE">
        <w:rPr>
          <w:rFonts w:ascii="Times New Roman" w:hAnsi="Times New Roman" w:cs="Times New Roman"/>
          <w:szCs w:val="24"/>
        </w:rPr>
        <w:t xml:space="preserve">annesso alla presente legge. I </w:t>
      </w:r>
      <w:r w:rsidRPr="00EC14DE">
        <w:rPr>
          <w:rFonts w:ascii="Times New Roman" w:hAnsi="Times New Roman" w:cs="Times New Roman"/>
          <w:szCs w:val="24"/>
        </w:rPr>
        <w:t>livelli del ricorso al mercato si intendono al netto delle operazioni effettuate al fine di rimborsare prima della scadenza o di ristrutturare passività preesistenti con ammortamento a carico dello Stato.</w:t>
      </w:r>
    </w:p>
    <w:p w14:paraId="1CB77D92" w14:textId="77777777" w:rsidR="00205568" w:rsidRPr="00EC14DE" w:rsidRDefault="00205568" w:rsidP="007C594F">
      <w:pPr>
        <w:pStyle w:val="Paragrafoelenco"/>
        <w:widowControl w:val="0"/>
        <w:spacing w:line="240" w:lineRule="auto"/>
        <w:ind w:left="-142"/>
        <w:jc w:val="both"/>
        <w:rPr>
          <w:rFonts w:ascii="Times New Roman" w:hAnsi="Times New Roman" w:cs="Times New Roman"/>
          <w:szCs w:val="24"/>
        </w:rPr>
      </w:pPr>
    </w:p>
    <w:p w14:paraId="46590468" w14:textId="77777777" w:rsidR="00205568" w:rsidRPr="00EC14DE" w:rsidRDefault="00205568" w:rsidP="007C594F">
      <w:pPr>
        <w:widowControl w:val="0"/>
      </w:pPr>
    </w:p>
    <w:p w14:paraId="600AF6BA" w14:textId="77777777" w:rsidR="00CE3DF1" w:rsidRPr="00EC14DE" w:rsidRDefault="00CE3DF1" w:rsidP="007C594F">
      <w:pPr>
        <w:widowControl w:val="0"/>
        <w:spacing w:after="160" w:line="259" w:lineRule="auto"/>
        <w:jc w:val="left"/>
        <w:rPr>
          <w:rFonts w:eastAsiaTheme="majorEastAsia" w:cstheme="majorBidi"/>
          <w:b/>
          <w:sz w:val="24"/>
          <w:szCs w:val="32"/>
        </w:rPr>
      </w:pPr>
      <w:r w:rsidRPr="00EC14DE">
        <w:br w:type="page"/>
      </w:r>
    </w:p>
    <w:p w14:paraId="1FA81B75" w14:textId="77777777" w:rsidR="00DD6550" w:rsidRPr="00EC14DE" w:rsidRDefault="00DD6550" w:rsidP="007C594F">
      <w:pPr>
        <w:pStyle w:val="Titolo1"/>
        <w:keepNext w:val="0"/>
        <w:keepLines w:val="0"/>
        <w:widowControl w:val="0"/>
      </w:pPr>
      <w:r w:rsidRPr="00EC14DE">
        <w:lastRenderedPageBreak/>
        <w:t>Titolo</w:t>
      </w:r>
      <w:r w:rsidRPr="00EC14DE">
        <w:rPr>
          <w:noProof/>
        </w:rPr>
        <w:t xml:space="preserve"> II</w:t>
      </w:r>
      <w:r w:rsidRPr="00EC14DE">
        <w:rPr>
          <w:noProof/>
        </w:rPr>
        <w:br/>
      </w:r>
      <w:r w:rsidR="00685CA5" w:rsidRPr="00EC14DE">
        <w:t>Riduzione della pressione fiscale e contributiva</w:t>
      </w:r>
    </w:p>
    <w:p w14:paraId="0F3221D6" w14:textId="77777777" w:rsidR="00CE3DF1" w:rsidRPr="00EC14DE" w:rsidRDefault="00CE3DF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Style w:val="s1"/>
          <w:rFonts w:cs="Times New Roman"/>
          <w:szCs w:val="22"/>
        </w:rPr>
        <w:t>(</w:t>
      </w:r>
      <w:r w:rsidR="00EA0E85" w:rsidRPr="00EC14DE">
        <w:rPr>
          <w:rStyle w:val="s1"/>
          <w:rFonts w:cs="Times New Roman"/>
          <w:szCs w:val="22"/>
        </w:rPr>
        <w:t>R</w:t>
      </w:r>
      <w:r w:rsidR="00877E01" w:rsidRPr="00EC14DE">
        <w:rPr>
          <w:rStyle w:val="s1"/>
          <w:rFonts w:cs="Times New Roman"/>
          <w:szCs w:val="22"/>
        </w:rPr>
        <w:t>iduzione della pressione fiscale</w:t>
      </w:r>
      <w:r w:rsidRPr="00EC14DE">
        <w:t>)</w:t>
      </w:r>
    </w:p>
    <w:p w14:paraId="1148C96A" w14:textId="77777777" w:rsidR="000B717F" w:rsidRPr="00EC14DE" w:rsidRDefault="000B717F" w:rsidP="000B717F">
      <w:pPr>
        <w:pStyle w:val="wordsection1"/>
        <w:jc w:val="both"/>
        <w:rPr>
          <w:sz w:val="22"/>
          <w:szCs w:val="22"/>
        </w:rPr>
      </w:pPr>
      <w:r w:rsidRPr="00EC14DE">
        <w:rPr>
          <w:sz w:val="22"/>
          <w:szCs w:val="22"/>
        </w:rPr>
        <w:t>1. Al fine di ridurre la pressione fiscale sui fattori produttivi, con appositi provvedimenti normativi è disposto l’utilizzo di un ammontare di risorse pari a 8.000 milioni di euro annui a decorrere dal 2022 destinato alla riduzione:</w:t>
      </w:r>
    </w:p>
    <w:p w14:paraId="3063A39A" w14:textId="77777777" w:rsidR="000B717F" w:rsidRPr="00EC14DE" w:rsidRDefault="000B717F" w:rsidP="000B717F">
      <w:pPr>
        <w:pStyle w:val="wordsection1"/>
        <w:ind w:firstLine="709"/>
        <w:jc w:val="both"/>
        <w:rPr>
          <w:sz w:val="22"/>
          <w:szCs w:val="22"/>
        </w:rPr>
      </w:pPr>
      <w:r w:rsidRPr="00EC14DE">
        <w:rPr>
          <w:sz w:val="22"/>
          <w:szCs w:val="22"/>
        </w:rPr>
        <w:t>1) dell’imposta sui redditi delle persone fisiche con l’obiettivo di ridurre il cuneo fiscale sul lavoro e le aliquote marginali effettive, da realizzarsi attraverso sia la riduzione di una o più aliquote di cui all’articolo 11, comma 1</w:t>
      </w:r>
      <w:r w:rsidR="00B5611F" w:rsidRPr="00EC14DE">
        <w:rPr>
          <w:sz w:val="22"/>
          <w:szCs w:val="22"/>
        </w:rPr>
        <w:t xml:space="preserve">, </w:t>
      </w:r>
      <w:r w:rsidRPr="00EC14DE">
        <w:rPr>
          <w:sz w:val="22"/>
          <w:szCs w:val="22"/>
        </w:rPr>
        <w:t>del decreto del Presidente della Repubblica 22 dicembre 1986, n.</w:t>
      </w:r>
      <w:r w:rsidR="00B5611F" w:rsidRPr="00EC14DE">
        <w:rPr>
          <w:sz w:val="22"/>
          <w:szCs w:val="22"/>
        </w:rPr>
        <w:t xml:space="preserve"> </w:t>
      </w:r>
      <w:r w:rsidRPr="00EC14DE">
        <w:rPr>
          <w:sz w:val="22"/>
          <w:szCs w:val="22"/>
        </w:rPr>
        <w:t>917, sia una revisione organica del sistema delle detrazioni per redditi da lavoro dipendente e del trattamento integrativo;</w:t>
      </w:r>
    </w:p>
    <w:p w14:paraId="79881858" w14:textId="77777777" w:rsidR="000B717F" w:rsidRPr="00EC14DE" w:rsidRDefault="000B717F" w:rsidP="000B717F">
      <w:pPr>
        <w:pStyle w:val="wordsection1"/>
        <w:ind w:firstLine="709"/>
        <w:jc w:val="both"/>
        <w:rPr>
          <w:sz w:val="22"/>
          <w:szCs w:val="22"/>
        </w:rPr>
      </w:pPr>
      <w:r w:rsidRPr="00EC14DE">
        <w:rPr>
          <w:sz w:val="22"/>
          <w:szCs w:val="22"/>
        </w:rPr>
        <w:t>2) dell’aliquota dell’imposta regionale sulle attività produttive.</w:t>
      </w:r>
    </w:p>
    <w:p w14:paraId="751ADA28" w14:textId="77777777" w:rsidR="007905F1" w:rsidRPr="00EC14DE" w:rsidRDefault="000B717F" w:rsidP="000B717F">
      <w:pPr>
        <w:pStyle w:val="wordsection1"/>
        <w:jc w:val="both"/>
        <w:rPr>
          <w:sz w:val="22"/>
          <w:szCs w:val="22"/>
        </w:rPr>
      </w:pPr>
      <w:r w:rsidRPr="00EC14DE">
        <w:rPr>
          <w:sz w:val="22"/>
          <w:szCs w:val="22"/>
        </w:rPr>
        <w:t xml:space="preserve">2. Ai fini dell’attuazione del comma 1, le risorse di cui all’articolo 1, comma 2, della legge 30 dicembre 2020, n. 178, sono incrementate di 6.000 milioni di euro per l’anno 2022 e 7.000 milioni di euro </w:t>
      </w:r>
      <w:r w:rsidR="00735F1B" w:rsidRPr="00EC14DE">
        <w:rPr>
          <w:sz w:val="22"/>
          <w:szCs w:val="22"/>
        </w:rPr>
        <w:t>annui a decorrere dall’anno 2023</w:t>
      </w:r>
      <w:r w:rsidRPr="00EC14DE">
        <w:rPr>
          <w:sz w:val="22"/>
          <w:szCs w:val="22"/>
        </w:rPr>
        <w:t>.</w:t>
      </w:r>
    </w:p>
    <w:p w14:paraId="223029D8" w14:textId="77777777" w:rsidR="00F57077" w:rsidRPr="00EC14DE" w:rsidRDefault="00964508"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F57077" w:rsidRPr="00EC14DE">
        <w:t>Differimento termini decorrenza dell’efficacia delle disposizioni relative a sugar tax e plastic tax)</w:t>
      </w:r>
      <w:r w:rsidR="00E1373D" w:rsidRPr="00EC14DE">
        <w:t xml:space="preserve"> </w:t>
      </w:r>
    </w:p>
    <w:p w14:paraId="2CC1F9F1" w14:textId="77777777" w:rsidR="00F57077" w:rsidRPr="00EC14DE" w:rsidRDefault="00F57077" w:rsidP="007C594F">
      <w:pPr>
        <w:widowControl w:val="0"/>
        <w:rPr>
          <w:rFonts w:cs="Times New Roman"/>
        </w:rPr>
      </w:pPr>
      <w:r w:rsidRPr="00EC14DE">
        <w:rPr>
          <w:rFonts w:cs="Times New Roman"/>
        </w:rPr>
        <w:t xml:space="preserve">1. All'articolo 1, della legge 27 dicembre 2019, n. 160, sono apportate le seguenti modificazioni: </w:t>
      </w:r>
    </w:p>
    <w:p w14:paraId="289E6E6A" w14:textId="77777777" w:rsidR="00F57077" w:rsidRPr="00EC14DE" w:rsidRDefault="00F57077" w:rsidP="007C594F">
      <w:pPr>
        <w:widowControl w:val="0"/>
        <w:rPr>
          <w:rFonts w:cs="Times New Roman"/>
        </w:rPr>
      </w:pPr>
      <w:r w:rsidRPr="00EC14DE">
        <w:rPr>
          <w:rFonts w:cs="Times New Roman"/>
        </w:rPr>
        <w:t xml:space="preserve">a) </w:t>
      </w:r>
      <w:r w:rsidR="002A594E" w:rsidRPr="00EC14DE">
        <w:rPr>
          <w:rFonts w:cs="Times New Roman"/>
        </w:rPr>
        <w:t>al comma 652</w:t>
      </w:r>
      <w:r w:rsidRPr="00EC14DE">
        <w:rPr>
          <w:rFonts w:cs="Times New Roman"/>
        </w:rPr>
        <w:t>, le parole: “dal 1° gennaio 2022</w:t>
      </w:r>
      <w:r w:rsidR="00B5611F" w:rsidRPr="00EC14DE">
        <w:rPr>
          <w:rFonts w:cs="Times New Roman"/>
        </w:rPr>
        <w:t>”,</w:t>
      </w:r>
      <w:r w:rsidRPr="00EC14DE">
        <w:rPr>
          <w:rFonts w:cs="Times New Roman"/>
        </w:rPr>
        <w:t xml:space="preserve"> sono sostituite dalle seguenti: “dal 1° gennaio 2023”;</w:t>
      </w:r>
    </w:p>
    <w:p w14:paraId="60FEA682" w14:textId="77777777" w:rsidR="00F57077" w:rsidRPr="00EC14DE" w:rsidRDefault="00F57077" w:rsidP="007C594F">
      <w:pPr>
        <w:widowControl w:val="0"/>
        <w:rPr>
          <w:rFonts w:cs="Times New Roman"/>
        </w:rPr>
      </w:pPr>
      <w:r w:rsidRPr="00EC14DE">
        <w:rPr>
          <w:rFonts w:cs="Times New Roman"/>
        </w:rPr>
        <w:t xml:space="preserve">b) </w:t>
      </w:r>
      <w:r w:rsidR="002A594E" w:rsidRPr="00EC14DE">
        <w:rPr>
          <w:rFonts w:cs="Times New Roman"/>
        </w:rPr>
        <w:t>al comma 676</w:t>
      </w:r>
      <w:r w:rsidRPr="00EC14DE">
        <w:rPr>
          <w:rFonts w:cs="Times New Roman"/>
        </w:rPr>
        <w:t xml:space="preserve">, le parole: “dal 1° gennaio 2022”, sono sostituite dalle seguenti: “dal 1° gennaio 2023”. </w:t>
      </w:r>
    </w:p>
    <w:p w14:paraId="2446A670" w14:textId="77777777" w:rsidR="00185205" w:rsidRPr="00EC14DE" w:rsidRDefault="00185205"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(Aliquota IVA del dieci per cento per i prodotti per l’igiene femminile non compostabili)</w:t>
      </w:r>
    </w:p>
    <w:p w14:paraId="456BEF07" w14:textId="77777777" w:rsidR="00185205" w:rsidRPr="00EC14DE" w:rsidRDefault="00185205" w:rsidP="007C594F">
      <w:pPr>
        <w:widowControl w:val="0"/>
        <w:rPr>
          <w:rFonts w:cs="Times New Roman"/>
        </w:rPr>
      </w:pPr>
      <w:r w:rsidRPr="00EC14DE">
        <w:rPr>
          <w:rFonts w:cs="Times New Roman"/>
        </w:rPr>
        <w:t>1. Alla tabella A, Parte III, allegata al decreto del Presidente della Repubblica 26 ottobre 1972, n. 633, dopo il n. 114, è aggiunto il seguente: “114-bis) prodotti assorbenti e tamponi, destinati alla protezione dell’igiene femminile non compresi nel numero 1-quinquies della Tabella A, parte II-bis;”.</w:t>
      </w:r>
    </w:p>
    <w:p w14:paraId="58BDBF4D" w14:textId="77777777" w:rsidR="00B77853" w:rsidRPr="00EC14DE" w:rsidRDefault="00B77853" w:rsidP="0012010C">
      <w:pPr>
        <w:pStyle w:val="Titolo3"/>
        <w:keepNext w:val="0"/>
        <w:keepLines w:val="0"/>
        <w:widowControl w:val="0"/>
        <w:rPr>
          <w:rFonts w:eastAsia="Times New Roman" w:cs="Times New Roman"/>
        </w:rPr>
      </w:pPr>
      <w:r w:rsidRPr="00EC14DE">
        <w:t xml:space="preserve">ART. </w:t>
      </w:r>
      <w:r w:rsidRPr="00EC14DE">
        <w:fldChar w:fldCharType="begin"/>
      </w:r>
      <w:r w:rsidRPr="00EC14DE">
        <w:instrText xml:space="preserve"> AUTONUM  \* Arabic </w:instrText>
      </w:r>
      <w:r w:rsidRPr="00EC14DE">
        <w:fldChar w:fldCharType="end"/>
      </w:r>
      <w:r w:rsidRPr="00EC14DE">
        <w:br/>
        <w:t>(</w:t>
      </w:r>
      <w:r w:rsidR="00974F0D" w:rsidRPr="00EC14DE">
        <w:t>Disposizioni in materia di governance e remunerazione del servi</w:t>
      </w:r>
      <w:r w:rsidR="006D0AAE" w:rsidRPr="00EC14DE">
        <w:t>zio nazionale della riscossione</w:t>
      </w:r>
      <w:r w:rsidRPr="00EC14DE">
        <w:t>)</w:t>
      </w:r>
      <w:r w:rsidR="00965A67" w:rsidRPr="00EC14DE">
        <w:t xml:space="preserve"> </w:t>
      </w:r>
    </w:p>
    <w:p w14:paraId="0260CC10" w14:textId="77777777" w:rsidR="006F1486" w:rsidRPr="00EC14DE" w:rsidRDefault="001C2424" w:rsidP="007C594F">
      <w:pPr>
        <w:pStyle w:val="Paragrafoelenco"/>
        <w:widowControl w:val="0"/>
        <w:tabs>
          <w:tab w:val="left" w:pos="265"/>
        </w:tabs>
        <w:spacing w:line="240" w:lineRule="auto"/>
        <w:ind w:left="0"/>
        <w:jc w:val="both"/>
        <w:rPr>
          <w:rFonts w:ascii="Times New Roman" w:hAnsi="Times New Roman" w:cs="Times New Roman"/>
        </w:rPr>
      </w:pPr>
      <w:r w:rsidRPr="00EC14DE">
        <w:rPr>
          <w:rFonts w:ascii="Times New Roman" w:hAnsi="Times New Roman" w:cs="Times New Roman"/>
        </w:rPr>
        <w:t xml:space="preserve">1. </w:t>
      </w:r>
      <w:r w:rsidR="006F1486" w:rsidRPr="00EC14DE">
        <w:rPr>
          <w:rFonts w:ascii="Times New Roman" w:hAnsi="Times New Roman" w:cs="Times New Roman"/>
        </w:rPr>
        <w:t>All’articolo 1 del decreto-legge 22 ottobre 2016, n. 193, convertito</w:t>
      </w:r>
      <w:r w:rsidR="009A1499" w:rsidRPr="00EC14DE">
        <w:rPr>
          <w:rFonts w:ascii="Times New Roman" w:hAnsi="Times New Roman" w:cs="Times New Roman"/>
        </w:rPr>
        <w:t>,</w:t>
      </w:r>
      <w:r w:rsidR="006F1486" w:rsidRPr="00EC14DE">
        <w:rPr>
          <w:rFonts w:ascii="Times New Roman" w:hAnsi="Times New Roman" w:cs="Times New Roman"/>
        </w:rPr>
        <w:t xml:space="preserve"> con modificazioni</w:t>
      </w:r>
      <w:r w:rsidR="009A1499" w:rsidRPr="00EC14DE">
        <w:rPr>
          <w:rFonts w:ascii="Times New Roman" w:hAnsi="Times New Roman" w:cs="Times New Roman"/>
        </w:rPr>
        <w:t>,</w:t>
      </w:r>
      <w:r w:rsidR="006F1486" w:rsidRPr="00EC14DE">
        <w:rPr>
          <w:rFonts w:ascii="Times New Roman" w:hAnsi="Times New Roman" w:cs="Times New Roman"/>
        </w:rPr>
        <w:t xml:space="preserve"> dalla legge 1° dicembre 2016, n. 225, sono apportate le seguenti modificazioni:</w:t>
      </w:r>
    </w:p>
    <w:p w14:paraId="5681222E" w14:textId="77777777" w:rsidR="006F1486" w:rsidRPr="00EC14DE" w:rsidRDefault="006F1486" w:rsidP="00B5611F">
      <w:pPr>
        <w:pStyle w:val="Paragrafoelenco"/>
        <w:widowControl w:val="0"/>
        <w:spacing w:line="240" w:lineRule="auto"/>
        <w:ind w:left="348"/>
        <w:jc w:val="both"/>
        <w:rPr>
          <w:rFonts w:ascii="Times New Roman" w:hAnsi="Times New Roman" w:cs="Times New Roman"/>
        </w:rPr>
      </w:pPr>
      <w:r w:rsidRPr="00EC14DE">
        <w:rPr>
          <w:rFonts w:ascii="Times New Roman" w:hAnsi="Times New Roman" w:cs="Times New Roman"/>
        </w:rPr>
        <w:t>a) al comma 3, primo periodo, le parole “</w:t>
      </w:r>
      <w:r w:rsidR="00262A32" w:rsidRPr="00EC14DE">
        <w:rPr>
          <w:rFonts w:ascii="Times New Roman" w:hAnsi="Times New Roman" w:cs="Times New Roman"/>
        </w:rPr>
        <w:t xml:space="preserve">indirizzo e vigilanza </w:t>
      </w:r>
      <w:r w:rsidRPr="00EC14DE">
        <w:rPr>
          <w:rFonts w:ascii="Times New Roman" w:hAnsi="Times New Roman" w:cs="Times New Roman"/>
          <w:iCs/>
        </w:rPr>
        <w:t>del Ministro dell'economia e delle finanze. L'Agenzia delle entrate provvede a monitorare costantemente l'attività dell'Agenzia delle entrate-Riscossione</w:t>
      </w:r>
      <w:r w:rsidRPr="00EC14DE">
        <w:rPr>
          <w:rFonts w:ascii="Times New Roman" w:hAnsi="Times New Roman" w:cs="Times New Roman"/>
        </w:rPr>
        <w:t>” sono sostituite dalle seguenti “</w:t>
      </w:r>
      <w:r w:rsidR="00262A32" w:rsidRPr="00EC14DE">
        <w:rPr>
          <w:rFonts w:ascii="Times New Roman" w:hAnsi="Times New Roman" w:cs="Times New Roman"/>
        </w:rPr>
        <w:t xml:space="preserve">indirizzo operativo e controllo </w:t>
      </w:r>
      <w:r w:rsidRPr="00EC14DE">
        <w:rPr>
          <w:rFonts w:ascii="Times New Roman" w:hAnsi="Times New Roman" w:cs="Times New Roman"/>
          <w:iCs/>
        </w:rPr>
        <w:t>della stessa Agenzia delle entrate, che ne monitora costantemente l’attività</w:t>
      </w:r>
      <w:r w:rsidR="00B5611F" w:rsidRPr="00EC14DE">
        <w:rPr>
          <w:rFonts w:ascii="Times New Roman" w:hAnsi="Times New Roman" w:cs="Times New Roman"/>
        </w:rPr>
        <w:t>” e, all</w:t>
      </w:r>
      <w:r w:rsidRPr="00EC14DE">
        <w:rPr>
          <w:rFonts w:ascii="Times New Roman" w:hAnsi="Times New Roman" w:cs="Times New Roman"/>
        </w:rPr>
        <w:t>’ultimo periodo, le parole “</w:t>
      </w:r>
      <w:r w:rsidRPr="00EC14DE">
        <w:rPr>
          <w:rFonts w:ascii="Times New Roman" w:hAnsi="Times New Roman" w:cs="Times New Roman"/>
          <w:iCs/>
        </w:rPr>
        <w:t>Sono organi dell’ente</w:t>
      </w:r>
      <w:r w:rsidRPr="00EC14DE">
        <w:rPr>
          <w:rFonts w:ascii="Times New Roman" w:hAnsi="Times New Roman" w:cs="Times New Roman"/>
        </w:rPr>
        <w:t xml:space="preserve"> </w:t>
      </w:r>
      <w:r w:rsidRPr="00EC14DE">
        <w:rPr>
          <w:rFonts w:ascii="Times New Roman" w:hAnsi="Times New Roman" w:cs="Times New Roman"/>
          <w:iCs/>
        </w:rPr>
        <w:t>il</w:t>
      </w:r>
      <w:r w:rsidRPr="00EC14DE">
        <w:rPr>
          <w:rFonts w:ascii="Times New Roman" w:hAnsi="Times New Roman" w:cs="Times New Roman"/>
        </w:rPr>
        <w:t xml:space="preserve"> </w:t>
      </w:r>
      <w:r w:rsidRPr="00EC14DE">
        <w:rPr>
          <w:rFonts w:ascii="Times New Roman" w:hAnsi="Times New Roman" w:cs="Times New Roman"/>
          <w:iCs/>
        </w:rPr>
        <w:t>presidente</w:t>
      </w:r>
      <w:r w:rsidRPr="00EC14DE">
        <w:rPr>
          <w:rFonts w:ascii="Times New Roman" w:hAnsi="Times New Roman" w:cs="Times New Roman"/>
        </w:rPr>
        <w:t xml:space="preserve">” sono sostituite </w:t>
      </w:r>
      <w:r w:rsidR="009E1A0E" w:rsidRPr="00EC14DE">
        <w:rPr>
          <w:rFonts w:ascii="Times New Roman" w:hAnsi="Times New Roman" w:cs="Times New Roman"/>
        </w:rPr>
        <w:t>dall</w:t>
      </w:r>
      <w:r w:rsidRPr="00EC14DE">
        <w:rPr>
          <w:rFonts w:ascii="Times New Roman" w:hAnsi="Times New Roman" w:cs="Times New Roman"/>
        </w:rPr>
        <w:t>e seguenti “</w:t>
      </w:r>
      <w:r w:rsidRPr="00EC14DE">
        <w:rPr>
          <w:rFonts w:ascii="Times New Roman" w:hAnsi="Times New Roman" w:cs="Times New Roman"/>
          <w:iCs/>
        </w:rPr>
        <w:t>Sono organi dell’ente</w:t>
      </w:r>
      <w:r w:rsidRPr="00EC14DE">
        <w:rPr>
          <w:rFonts w:ascii="Times New Roman" w:hAnsi="Times New Roman" w:cs="Times New Roman"/>
        </w:rPr>
        <w:t xml:space="preserve"> </w:t>
      </w:r>
      <w:r w:rsidRPr="00EC14DE">
        <w:rPr>
          <w:rFonts w:ascii="Times New Roman" w:hAnsi="Times New Roman" w:cs="Times New Roman"/>
          <w:iCs/>
        </w:rPr>
        <w:t>il</w:t>
      </w:r>
      <w:r w:rsidRPr="00EC14DE">
        <w:rPr>
          <w:rFonts w:ascii="Times New Roman" w:hAnsi="Times New Roman" w:cs="Times New Roman"/>
        </w:rPr>
        <w:t xml:space="preserve"> direttore”;</w:t>
      </w:r>
    </w:p>
    <w:p w14:paraId="33092A89" w14:textId="77777777" w:rsidR="006F1486" w:rsidRPr="00EC14DE" w:rsidRDefault="006F1486" w:rsidP="007C594F">
      <w:pPr>
        <w:widowControl w:val="0"/>
        <w:ind w:left="348"/>
        <w:rPr>
          <w:rFonts w:cs="Times New Roman"/>
        </w:rPr>
      </w:pPr>
      <w:r w:rsidRPr="00EC14DE">
        <w:rPr>
          <w:rFonts w:cs="Times New Roman"/>
        </w:rPr>
        <w:t>b) il comma 4, è sostituito dal seguente: “</w:t>
      </w:r>
      <w:r w:rsidR="00E74714" w:rsidRPr="00EC14DE">
        <w:rPr>
          <w:rFonts w:cs="Times New Roman"/>
        </w:rPr>
        <w:t xml:space="preserve">4. </w:t>
      </w:r>
      <w:r w:rsidRPr="00EC14DE">
        <w:rPr>
          <w:rFonts w:cs="Times New Roman"/>
        </w:rPr>
        <w:t xml:space="preserve">Il direttore dell’ente è il Direttore dell’Agenzia delle entrate. Il comitato di gestione è composto dal direttore, che lo presiede, e da due componenti nominati dall’Agenzia delle entrate tra i propri dirigenti. Ai componenti del comitato di gestione non spetta alcun compenso, indennità o rimborso spese.” </w:t>
      </w:r>
    </w:p>
    <w:p w14:paraId="01B1A2DD" w14:textId="77777777" w:rsidR="006F1486" w:rsidRPr="00EC14DE" w:rsidRDefault="009E1A0E" w:rsidP="007C594F">
      <w:pPr>
        <w:widowControl w:val="0"/>
        <w:ind w:left="348"/>
        <w:rPr>
          <w:rFonts w:cs="Times New Roman"/>
        </w:rPr>
      </w:pPr>
      <w:r w:rsidRPr="00EC14DE">
        <w:rPr>
          <w:rFonts w:cs="Times New Roman"/>
        </w:rPr>
        <w:t>c) al comma 5:</w:t>
      </w:r>
    </w:p>
    <w:p w14:paraId="16C1AAA4" w14:textId="77777777" w:rsidR="006F1486" w:rsidRPr="00EC14DE" w:rsidRDefault="00746085" w:rsidP="007C594F">
      <w:pPr>
        <w:widowControl w:val="0"/>
        <w:ind w:left="859" w:hanging="227"/>
        <w:rPr>
          <w:rFonts w:cs="Times New Roman"/>
        </w:rPr>
      </w:pPr>
      <w:r w:rsidRPr="00EC14DE">
        <w:rPr>
          <w:rFonts w:cs="Times New Roman"/>
        </w:rPr>
        <w:t xml:space="preserve">1) </w:t>
      </w:r>
      <w:r w:rsidR="006F1486" w:rsidRPr="00EC14DE">
        <w:rPr>
          <w:rFonts w:cs="Times New Roman"/>
        </w:rPr>
        <w:t>il primo e il secondo periodo sono sostituiti dal seguente: “Lo statuto, approvato con decreto del Ministro dell'economia e delle finanze secondo le previsioni di cui al comma 5-bis, disciplina le funzioni e le competenze degli organi, indica le entrate dell’ente necessarie a garantirne l’equilibrio economico-finanziario, stabilendo i criteri concernenti la determinazione e le modalità di erogazione delle risorse stanziate in favore dello stesso, nonché i criteri per la definizione degli altri corrispettivi per i servizi prestati a soggetti pubblici o privati, incluse le amministrazioni statali”;</w:t>
      </w:r>
    </w:p>
    <w:p w14:paraId="1EBC0B75" w14:textId="77777777" w:rsidR="006F1486" w:rsidRPr="00EC14DE" w:rsidRDefault="00746085" w:rsidP="007C594F">
      <w:pPr>
        <w:widowControl w:val="0"/>
        <w:ind w:left="915" w:hanging="283"/>
        <w:rPr>
          <w:rFonts w:cs="Times New Roman"/>
        </w:rPr>
      </w:pPr>
      <w:r w:rsidRPr="00EC14DE">
        <w:rPr>
          <w:rFonts w:cs="Times New Roman"/>
        </w:rPr>
        <w:lastRenderedPageBreak/>
        <w:t xml:space="preserve">2) </w:t>
      </w:r>
      <w:r w:rsidR="006F1486" w:rsidRPr="00EC14DE">
        <w:rPr>
          <w:rFonts w:cs="Times New Roman"/>
        </w:rPr>
        <w:t>nel quarto periodo, la parola: “</w:t>
      </w:r>
      <w:r w:rsidR="006F1486" w:rsidRPr="00EC14DE">
        <w:rPr>
          <w:rFonts w:cs="Times New Roman"/>
          <w:iCs/>
        </w:rPr>
        <w:t>presidente</w:t>
      </w:r>
      <w:r w:rsidR="006F1486" w:rsidRPr="00EC14DE">
        <w:rPr>
          <w:rFonts w:cs="Times New Roman"/>
        </w:rPr>
        <w:t>” è sostituita dalla seguente: “</w:t>
      </w:r>
      <w:r w:rsidR="006F1486" w:rsidRPr="00EC14DE">
        <w:rPr>
          <w:rFonts w:cs="Times New Roman"/>
          <w:iCs/>
        </w:rPr>
        <w:t>direttore</w:t>
      </w:r>
      <w:r w:rsidR="006F1486" w:rsidRPr="00EC14DE">
        <w:rPr>
          <w:rFonts w:cs="Times New Roman"/>
        </w:rPr>
        <w:t>”;</w:t>
      </w:r>
    </w:p>
    <w:p w14:paraId="2F1042A0" w14:textId="77777777" w:rsidR="006F1486" w:rsidRPr="00EC14DE" w:rsidRDefault="00746085" w:rsidP="007C594F">
      <w:pPr>
        <w:widowControl w:val="0"/>
        <w:ind w:left="915" w:hanging="283"/>
        <w:rPr>
          <w:rFonts w:cs="Times New Roman"/>
        </w:rPr>
      </w:pPr>
      <w:r w:rsidRPr="00EC14DE">
        <w:rPr>
          <w:rFonts w:cs="Times New Roman"/>
        </w:rPr>
        <w:t xml:space="preserve">3) </w:t>
      </w:r>
      <w:r w:rsidR="006F1486" w:rsidRPr="00EC14DE">
        <w:rPr>
          <w:rFonts w:cs="Times New Roman"/>
        </w:rPr>
        <w:t>nel settimo periodo, le parole: “</w:t>
      </w:r>
      <w:r w:rsidR="006F1486" w:rsidRPr="00EC14DE">
        <w:rPr>
          <w:rFonts w:cs="Times New Roman"/>
          <w:iCs/>
        </w:rPr>
        <w:t>nell’atto aggiuntivo</w:t>
      </w:r>
      <w:r w:rsidR="006F1486" w:rsidRPr="00EC14DE">
        <w:rPr>
          <w:rFonts w:cs="Times New Roman"/>
        </w:rPr>
        <w:t>” sono sostituite dalle seguenti: “</w:t>
      </w:r>
      <w:r w:rsidR="006F1486" w:rsidRPr="00EC14DE">
        <w:rPr>
          <w:rFonts w:cs="Times New Roman"/>
          <w:iCs/>
        </w:rPr>
        <w:t>nella convenzione</w:t>
      </w:r>
      <w:r w:rsidR="006F1486" w:rsidRPr="00EC14DE">
        <w:rPr>
          <w:rFonts w:cs="Times New Roman"/>
        </w:rPr>
        <w:t>”;</w:t>
      </w:r>
    </w:p>
    <w:p w14:paraId="1DD8B3AB" w14:textId="77777777" w:rsidR="006F1486" w:rsidRPr="00EC14DE" w:rsidRDefault="00746085" w:rsidP="007C594F">
      <w:pPr>
        <w:widowControl w:val="0"/>
        <w:ind w:left="915" w:hanging="283"/>
        <w:rPr>
          <w:rFonts w:cs="Times New Roman"/>
        </w:rPr>
      </w:pPr>
      <w:r w:rsidRPr="00EC14DE">
        <w:rPr>
          <w:rFonts w:cs="Times New Roman"/>
        </w:rPr>
        <w:t xml:space="preserve">4) </w:t>
      </w:r>
      <w:r w:rsidR="005C69FE" w:rsidRPr="00EC14DE">
        <w:rPr>
          <w:rFonts w:cs="Times New Roman"/>
        </w:rPr>
        <w:t>l’ottavo periodo è soppresso.</w:t>
      </w:r>
    </w:p>
    <w:p w14:paraId="1D715BCC" w14:textId="77777777" w:rsidR="006F1486" w:rsidRPr="00EC14DE" w:rsidRDefault="006F1486" w:rsidP="007C594F">
      <w:pPr>
        <w:widowControl w:val="0"/>
        <w:ind w:left="632" w:hanging="284"/>
        <w:rPr>
          <w:rFonts w:cs="Times New Roman"/>
          <w:iCs/>
        </w:rPr>
      </w:pPr>
      <w:r w:rsidRPr="00EC14DE">
        <w:rPr>
          <w:rFonts w:cs="Times New Roman"/>
        </w:rPr>
        <w:t xml:space="preserve">d) il comma 5-bis è sostituito dal seguente </w:t>
      </w:r>
      <w:r w:rsidRPr="00EC14DE">
        <w:rPr>
          <w:rFonts w:cs="Times New Roman"/>
          <w:iCs/>
        </w:rPr>
        <w:t>“5-bis. Le deliberazioni del comitato di gestione relative allo statuto sono trasmesse al Ministero dell’economia e delle finanze per l’approvazione, secondo le forme e le modalità previste dall’articolo 60 del decreto legislativo 30 luglio 1999, n. 300.”</w:t>
      </w:r>
    </w:p>
    <w:p w14:paraId="20DB6F30" w14:textId="77777777" w:rsidR="006F1486" w:rsidRPr="00EC14DE" w:rsidRDefault="006F1486" w:rsidP="007C594F">
      <w:pPr>
        <w:widowControl w:val="0"/>
        <w:ind w:left="632" w:hanging="284"/>
        <w:rPr>
          <w:rFonts w:cs="Times New Roman"/>
          <w:iCs/>
        </w:rPr>
      </w:pPr>
      <w:r w:rsidRPr="00EC14DE">
        <w:rPr>
          <w:rFonts w:cs="Times New Roman"/>
          <w:iCs/>
        </w:rPr>
        <w:t xml:space="preserve">e) </w:t>
      </w:r>
      <w:r w:rsidRPr="00EC14DE">
        <w:rPr>
          <w:rFonts w:cs="Times New Roman"/>
        </w:rPr>
        <w:t>dopo il comma 5-bis sono aggiunti i seguenti commi</w:t>
      </w:r>
      <w:r w:rsidRPr="00EC14DE">
        <w:rPr>
          <w:rStyle w:val="Rimandocommento"/>
          <w:rFonts w:cs="Times New Roman"/>
          <w:sz w:val="22"/>
          <w:szCs w:val="22"/>
        </w:rPr>
        <w:t xml:space="preserve">: </w:t>
      </w:r>
      <w:r w:rsidRPr="00EC14DE">
        <w:rPr>
          <w:rFonts w:cs="Times New Roman"/>
          <w:iCs/>
        </w:rPr>
        <w:t xml:space="preserve">“5-ter. </w:t>
      </w:r>
      <w:bookmarkStart w:id="3" w:name="_Hlk85540049"/>
      <w:r w:rsidRPr="00EC14DE">
        <w:rPr>
          <w:rFonts w:cs="Times New Roman"/>
          <w:iCs/>
        </w:rPr>
        <w:t>Le deliberazioni del comitato di gestione relative alle modifiche dei regolamenti e degli atti di carattere generale che regolano il funzionamento dell’Agenzia delle entrate-Riscossione, nonché ai bilanci e ai piani pluriennali di investimento sono trasmesse per l’approvazione all’Agenzia delle entrate. L'approvazione può essere negata per ragioni di legittimità o di merito. Le deliberazioni si intendono approvate ove nei quarantacinque giorni dalla ricezione delle stesse non venga emanato alcun provvedimento ovvero non vengano chiesti chiarimenti o documentazione integrativa; in tale ultima ipotesi il termine per l'approvazione è interrotto sino a che non pervengono gli elementi richiesti</w:t>
      </w:r>
      <w:bookmarkEnd w:id="3"/>
      <w:r w:rsidRPr="00EC14DE">
        <w:rPr>
          <w:rFonts w:cs="Times New Roman"/>
          <w:iCs/>
        </w:rPr>
        <w:t xml:space="preserve">; per l’approvazione dei bilanci e dei piani pluriennali di investimento si applicano i termini di cui al decreto del Presidente della Repubblica 9 novembre 1998, n. 439. Fermi i controlli sui risultati, gli altri atti di gestione dell’Agenzia delle entrate-Riscossione non sono sottoposti </w:t>
      </w:r>
      <w:bookmarkStart w:id="4" w:name="_Hlk85714951"/>
      <w:r w:rsidRPr="00EC14DE">
        <w:rPr>
          <w:rFonts w:cs="Times New Roman"/>
          <w:iCs/>
        </w:rPr>
        <w:t>all’approvazione preventiva dell’Agenzia delle entrate</w:t>
      </w:r>
      <w:bookmarkEnd w:id="4"/>
      <w:r w:rsidRPr="00EC14DE">
        <w:rPr>
          <w:rFonts w:cs="Times New Roman"/>
          <w:iCs/>
        </w:rPr>
        <w:t>.</w:t>
      </w:r>
    </w:p>
    <w:p w14:paraId="1D454241" w14:textId="77777777" w:rsidR="006F1486" w:rsidRPr="00EC14DE" w:rsidRDefault="006F1486" w:rsidP="00035222">
      <w:pPr>
        <w:widowControl w:val="0"/>
        <w:ind w:left="632"/>
        <w:rPr>
          <w:rFonts w:cs="Times New Roman"/>
          <w:iCs/>
        </w:rPr>
      </w:pPr>
      <w:bookmarkStart w:id="5" w:name="_Hlk85714988"/>
      <w:r w:rsidRPr="00EC14DE">
        <w:rPr>
          <w:rFonts w:cs="Times New Roman"/>
          <w:iCs/>
        </w:rPr>
        <w:t>5-quater. Al fine di incrementare l’efficacia, l’efficienza e l’economicità nello svolgimento sinergico delle rispettive funzioni istituzionali, l’Agenzia delle entrate e l’Agenzia delle entrate-Riscossione possono stipulare</w:t>
      </w:r>
      <w:r w:rsidR="009A729E" w:rsidRPr="00EC14DE">
        <w:rPr>
          <w:rFonts w:cs="Times New Roman"/>
          <w:iCs/>
        </w:rPr>
        <w:t>, senza nuovi e maggiori oneri,</w:t>
      </w:r>
      <w:r w:rsidRPr="00EC14DE">
        <w:rPr>
          <w:rFonts w:cs="Times New Roman"/>
          <w:iCs/>
        </w:rPr>
        <w:t xml:space="preserve"> apposite convenzioni o protocolli di intesa che prevedono anche forme di assegnazione temporanea, comunque denominate, di personale da un’agenzia all’altra.</w:t>
      </w:r>
    </w:p>
    <w:p w14:paraId="050B8BD6" w14:textId="77777777" w:rsidR="006F1486" w:rsidRPr="00EC14DE" w:rsidRDefault="006F1486" w:rsidP="007C594F">
      <w:pPr>
        <w:widowControl w:val="0"/>
        <w:ind w:left="348"/>
        <w:rPr>
          <w:rFonts w:cs="Times New Roman"/>
        </w:rPr>
      </w:pPr>
      <w:bookmarkStart w:id="6" w:name="_Hlk84440680"/>
      <w:bookmarkEnd w:id="5"/>
      <w:r w:rsidRPr="00EC14DE">
        <w:rPr>
          <w:rFonts w:cs="Times New Roman"/>
        </w:rPr>
        <w:t>f</w:t>
      </w:r>
      <w:r w:rsidR="00A27C60" w:rsidRPr="00EC14DE">
        <w:rPr>
          <w:rFonts w:cs="Times New Roman"/>
        </w:rPr>
        <w:t>)</w:t>
      </w:r>
      <w:r w:rsidR="009E1A0E" w:rsidRPr="00EC14DE">
        <w:rPr>
          <w:rFonts w:cs="Times New Roman"/>
        </w:rPr>
        <w:t xml:space="preserve"> al comma 13:</w:t>
      </w:r>
    </w:p>
    <w:p w14:paraId="27004A84" w14:textId="77777777" w:rsidR="006F1486" w:rsidRPr="00EC14DE" w:rsidRDefault="00746085" w:rsidP="007C594F">
      <w:pPr>
        <w:widowControl w:val="0"/>
        <w:ind w:left="774" w:hanging="142"/>
        <w:rPr>
          <w:rFonts w:cs="Times New Roman"/>
        </w:rPr>
      </w:pPr>
      <w:r w:rsidRPr="00EC14DE">
        <w:rPr>
          <w:rFonts w:cs="Times New Roman"/>
        </w:rPr>
        <w:t xml:space="preserve">1) </w:t>
      </w:r>
      <w:r w:rsidR="006F1486" w:rsidRPr="00EC14DE">
        <w:rPr>
          <w:rFonts w:cs="Times New Roman"/>
        </w:rPr>
        <w:t>le parole “</w:t>
      </w:r>
      <w:r w:rsidR="006F1486" w:rsidRPr="00EC14DE">
        <w:rPr>
          <w:rFonts w:cs="Times New Roman"/>
          <w:iCs/>
        </w:rPr>
        <w:t xml:space="preserve">Il Ministro dell'economia e delle finanze e il direttore dell'Agenzia </w:t>
      </w:r>
      <w:r w:rsidR="009E1A0E" w:rsidRPr="00EC14DE">
        <w:rPr>
          <w:rFonts w:cs="Times New Roman"/>
          <w:iCs/>
        </w:rPr>
        <w:t xml:space="preserve">delle </w:t>
      </w:r>
      <w:r w:rsidR="006F1486" w:rsidRPr="00EC14DE">
        <w:rPr>
          <w:rFonts w:cs="Times New Roman"/>
          <w:iCs/>
        </w:rPr>
        <w:t>entrate, presidente dell'ente, stipulano annualmente un atto aggiuntivo alla convenzione di cui all'articolo 59 del decreto legislativo 30 luglio 1999, n. 300 per individuare,</w:t>
      </w:r>
      <w:r w:rsidR="006F1486" w:rsidRPr="00EC14DE">
        <w:rPr>
          <w:rFonts w:cs="Times New Roman"/>
        </w:rPr>
        <w:t>” sono sostituite dalle seguenti “</w:t>
      </w:r>
      <w:r w:rsidR="006F1486" w:rsidRPr="00EC14DE">
        <w:rPr>
          <w:rFonts w:cs="Times New Roman"/>
          <w:iCs/>
        </w:rPr>
        <w:t>La convenzione di cui all'articolo 59 del decreto legislativo 30 luglio 1999, n. 300 stipulata tra il Ministro dell'economia e delle finanze e il direttore dell'Agenzia delle entrate, individua, per l’attività svolta dall’Agenzia delle entrate-Riscossione:”</w:t>
      </w:r>
      <w:r w:rsidR="006F1486" w:rsidRPr="00EC14DE">
        <w:rPr>
          <w:rFonts w:cs="Times New Roman"/>
        </w:rPr>
        <w:t>;</w:t>
      </w:r>
    </w:p>
    <w:p w14:paraId="51375F27" w14:textId="77777777" w:rsidR="009A729E" w:rsidRPr="00EC14DE" w:rsidRDefault="00746085" w:rsidP="009A729E">
      <w:pPr>
        <w:widowControl w:val="0"/>
        <w:ind w:left="774" w:hanging="142"/>
        <w:rPr>
          <w:rFonts w:cs="Times New Roman"/>
          <w:iCs/>
        </w:rPr>
      </w:pPr>
      <w:r w:rsidRPr="00EC14DE">
        <w:rPr>
          <w:rFonts w:cs="Times New Roman"/>
        </w:rPr>
        <w:t xml:space="preserve">2) alla lettera </w:t>
      </w:r>
      <w:r w:rsidR="006F1486" w:rsidRPr="00EC14DE">
        <w:rPr>
          <w:rFonts w:cs="Times New Roman"/>
        </w:rPr>
        <w:t xml:space="preserve">b), le parole </w:t>
      </w:r>
      <w:r w:rsidR="006F1486" w:rsidRPr="00EC14DE">
        <w:rPr>
          <w:rFonts w:cs="Times New Roman"/>
          <w:iCs/>
        </w:rPr>
        <w:t>“le risorse disponibili”</w:t>
      </w:r>
      <w:r w:rsidR="006F1486" w:rsidRPr="00EC14DE">
        <w:rPr>
          <w:rFonts w:cs="Times New Roman"/>
        </w:rPr>
        <w:t xml:space="preserve"> sono sostituite dalle seguenti </w:t>
      </w:r>
      <w:r w:rsidR="00CF0366" w:rsidRPr="00EC14DE">
        <w:rPr>
          <w:rFonts w:cs="Times New Roman"/>
          <w:iCs/>
        </w:rPr>
        <w:t>“le risorse necessarie a far fronte agli oneri di funzionamento del servizio nazionale della riscossione</w:t>
      </w:r>
      <w:r w:rsidR="009A729E" w:rsidRPr="00EC14DE">
        <w:rPr>
          <w:rFonts w:cs="Times New Roman"/>
          <w:iCs/>
        </w:rPr>
        <w:t xml:space="preserve">, stanziate sul bilancio dello Stato per il trasferimento in favore di Agenzia delle entrate-Riscossione, per: </w:t>
      </w:r>
    </w:p>
    <w:p w14:paraId="544A33A8" w14:textId="77777777" w:rsidR="009A729E" w:rsidRPr="00EC14DE" w:rsidRDefault="009A729E" w:rsidP="009A729E">
      <w:pPr>
        <w:widowControl w:val="0"/>
        <w:ind w:left="774" w:hanging="142"/>
        <w:rPr>
          <w:rFonts w:cs="Times New Roman"/>
          <w:iCs/>
        </w:rPr>
      </w:pPr>
      <w:r w:rsidRPr="00EC14DE">
        <w:rPr>
          <w:rFonts w:cs="Times New Roman"/>
          <w:iCs/>
        </w:rPr>
        <w:t xml:space="preserve">1)      gli oneri di gestione calcolati, per le attività dalla stessa svolte, sulla base di una efficiente conduzione aziendale e dei vincoli di servizio imposti per esigenze di carattere generale; </w:t>
      </w:r>
    </w:p>
    <w:p w14:paraId="3DACA1BA" w14:textId="77777777" w:rsidR="006F1486" w:rsidRPr="00EC14DE" w:rsidRDefault="009A729E" w:rsidP="00D535EC">
      <w:pPr>
        <w:widowControl w:val="0"/>
        <w:ind w:left="774" w:hanging="142"/>
        <w:rPr>
          <w:rFonts w:cs="Times New Roman"/>
          <w:iCs/>
        </w:rPr>
      </w:pPr>
      <w:r w:rsidRPr="00EC14DE">
        <w:rPr>
          <w:rFonts w:cs="Times New Roman"/>
          <w:iCs/>
        </w:rPr>
        <w:t>2)      le spese di investimento necessarie per realizzare i miglioramenti programmati;”</w:t>
      </w:r>
    </w:p>
    <w:p w14:paraId="22C5336A" w14:textId="77777777" w:rsidR="006F1486" w:rsidRPr="00EC14DE" w:rsidRDefault="00746085" w:rsidP="007C594F">
      <w:pPr>
        <w:widowControl w:val="0"/>
        <w:ind w:left="915" w:hanging="283"/>
        <w:rPr>
          <w:rFonts w:cs="Times New Roman"/>
        </w:rPr>
      </w:pPr>
      <w:r w:rsidRPr="00EC14DE">
        <w:rPr>
          <w:rFonts w:cs="Times New Roman"/>
        </w:rPr>
        <w:t xml:space="preserve">3) alla lettera </w:t>
      </w:r>
      <w:r w:rsidR="006F1486" w:rsidRPr="00EC14DE">
        <w:rPr>
          <w:rFonts w:cs="Times New Roman"/>
        </w:rPr>
        <w:t>c), la parola “</w:t>
      </w:r>
      <w:r w:rsidR="006F1486" w:rsidRPr="00EC14DE">
        <w:rPr>
          <w:rFonts w:cs="Times New Roman"/>
          <w:iCs/>
        </w:rPr>
        <w:t>tributari</w:t>
      </w:r>
      <w:r w:rsidR="006F1486" w:rsidRPr="00EC14DE">
        <w:rPr>
          <w:rFonts w:cs="Times New Roman"/>
        </w:rPr>
        <w:t>” è sostituita con le seguenti “</w:t>
      </w:r>
      <w:r w:rsidR="006F1486" w:rsidRPr="00EC14DE">
        <w:rPr>
          <w:rFonts w:cs="Times New Roman"/>
          <w:iCs/>
        </w:rPr>
        <w:t>affidati dagli enti impositori</w:t>
      </w:r>
      <w:r w:rsidR="006F1486" w:rsidRPr="00EC14DE">
        <w:rPr>
          <w:rFonts w:cs="Times New Roman"/>
        </w:rPr>
        <w:t xml:space="preserve">”; </w:t>
      </w:r>
    </w:p>
    <w:p w14:paraId="025230FE" w14:textId="77777777" w:rsidR="00CF0366" w:rsidRPr="00EC14DE" w:rsidRDefault="00746085" w:rsidP="00D535EC">
      <w:pPr>
        <w:widowControl w:val="0"/>
        <w:ind w:left="774" w:hanging="142"/>
        <w:rPr>
          <w:rFonts w:cs="Times New Roman"/>
        </w:rPr>
      </w:pPr>
      <w:r w:rsidRPr="00EC14DE">
        <w:rPr>
          <w:rFonts w:cs="Times New Roman"/>
        </w:rPr>
        <w:t>4) alla lettera</w:t>
      </w:r>
      <w:r w:rsidR="006F1486" w:rsidRPr="00EC14DE">
        <w:rPr>
          <w:rFonts w:cs="Times New Roman"/>
        </w:rPr>
        <w:t xml:space="preserve"> f), le parole “</w:t>
      </w:r>
      <w:r w:rsidR="00EA2FD2" w:rsidRPr="00EC14DE">
        <w:rPr>
          <w:rFonts w:cs="Times New Roman"/>
        </w:rPr>
        <w:t xml:space="preserve">vigilanza sull'operato dell'ente da parte </w:t>
      </w:r>
      <w:r w:rsidR="006F1486" w:rsidRPr="00EC14DE">
        <w:rPr>
          <w:rFonts w:cs="Times New Roman"/>
          <w:iCs/>
        </w:rPr>
        <w:t>del Ministero dell’economia e delle finanze</w:t>
      </w:r>
      <w:r w:rsidR="006F1486" w:rsidRPr="00EC14DE">
        <w:rPr>
          <w:rFonts w:cs="Times New Roman"/>
        </w:rPr>
        <w:t>” sono sostituite dalle seguenti “</w:t>
      </w:r>
      <w:r w:rsidR="00EA2FD2" w:rsidRPr="00EC14DE">
        <w:rPr>
          <w:rFonts w:cs="Times New Roman"/>
        </w:rPr>
        <w:t xml:space="preserve">indirizzo operativo e controllo sull’operato dell’ente da parte </w:t>
      </w:r>
      <w:r w:rsidR="006F1486" w:rsidRPr="00EC14DE">
        <w:rPr>
          <w:rFonts w:cs="Times New Roman"/>
          <w:iCs/>
        </w:rPr>
        <w:t>dell’Agenzia delle entrate</w:t>
      </w:r>
      <w:r w:rsidR="006F1486" w:rsidRPr="00EC14DE">
        <w:rPr>
          <w:rFonts w:cs="Times New Roman"/>
        </w:rPr>
        <w:t xml:space="preserve">”; </w:t>
      </w:r>
    </w:p>
    <w:bookmarkEnd w:id="6"/>
    <w:p w14:paraId="262E3EB1" w14:textId="77777777" w:rsidR="006F1486" w:rsidRPr="00EC14DE" w:rsidRDefault="006F1486" w:rsidP="007C594F">
      <w:pPr>
        <w:widowControl w:val="0"/>
        <w:ind w:left="348"/>
        <w:rPr>
          <w:rFonts w:cs="Times New Roman"/>
        </w:rPr>
      </w:pPr>
      <w:r w:rsidRPr="00EC14DE">
        <w:rPr>
          <w:rFonts w:cs="Times New Roman"/>
        </w:rPr>
        <w:t xml:space="preserve">g) il comma 13-bis è abrogato;  </w:t>
      </w:r>
    </w:p>
    <w:p w14:paraId="5727CB8B" w14:textId="77777777" w:rsidR="0063174F" w:rsidRPr="00EC14DE" w:rsidRDefault="006F1486" w:rsidP="007C594F">
      <w:pPr>
        <w:widowControl w:val="0"/>
        <w:ind w:left="632" w:hanging="284"/>
        <w:rPr>
          <w:rFonts w:cs="Times New Roman"/>
        </w:rPr>
      </w:pPr>
      <w:r w:rsidRPr="00EC14DE">
        <w:rPr>
          <w:rFonts w:cs="Times New Roman"/>
        </w:rPr>
        <w:t>h) al comma 14, le parole “</w:t>
      </w:r>
      <w:r w:rsidRPr="00EC14DE">
        <w:rPr>
          <w:rFonts w:cs="Times New Roman"/>
          <w:iCs/>
        </w:rPr>
        <w:t>nell’atto aggiuntivo</w:t>
      </w:r>
      <w:r w:rsidRPr="00EC14DE">
        <w:rPr>
          <w:rFonts w:cs="Times New Roman"/>
        </w:rPr>
        <w:t>” sono sostituite dalle seguenti “</w:t>
      </w:r>
      <w:r w:rsidRPr="00EC14DE">
        <w:rPr>
          <w:rFonts w:cs="Times New Roman"/>
          <w:iCs/>
        </w:rPr>
        <w:t>nella convenzione</w:t>
      </w:r>
      <w:r w:rsidR="00E74714" w:rsidRPr="00EC14DE">
        <w:rPr>
          <w:rFonts w:cs="Times New Roman"/>
        </w:rPr>
        <w:t xml:space="preserve">” </w:t>
      </w:r>
      <w:r w:rsidR="0063174F" w:rsidRPr="00EC14DE">
        <w:rPr>
          <w:rFonts w:cs="Times New Roman"/>
        </w:rPr>
        <w:t>e dopo la parola “segnalati”, sono inserite le seguenti: “all’Agenzia delle entrate e, a cura di quest’ultima,”;</w:t>
      </w:r>
    </w:p>
    <w:p w14:paraId="2CB869AA" w14:textId="77777777" w:rsidR="006F1486" w:rsidRPr="00EC14DE" w:rsidRDefault="006F1486" w:rsidP="007C594F">
      <w:pPr>
        <w:widowControl w:val="0"/>
        <w:ind w:left="632" w:hanging="284"/>
        <w:rPr>
          <w:rFonts w:cs="Times New Roman"/>
        </w:rPr>
      </w:pPr>
      <w:r w:rsidRPr="00EC14DE">
        <w:rPr>
          <w:rFonts w:cs="Times New Roman"/>
        </w:rPr>
        <w:t>i) al comma 14-bis, le parole “</w:t>
      </w:r>
      <w:r w:rsidRPr="00EC14DE">
        <w:rPr>
          <w:rFonts w:cs="Times New Roman"/>
          <w:iCs/>
        </w:rPr>
        <w:t>in materia di riscossione, esponendo distintamente i dati concernenti i carichi di ruolo ad esso affidati, l'ammontare delle somme riscosse e i crediti ancora da riscuotere, nonché le quote di credito divenute inesigibili.  La relazione contiene anche una nota illustrativa concernente   le procedure di riscossione che hanno condotto ai risultati conseguiti, evidenziando in particolare le ragioni della mancata riscossione dei carichi di ruolo affidati.  La  relazione,  anche  ai fini  della predisposizione del rapporto di cui all'articolo 10-bis.1 della legge 31 dicembre 2009, n. 196, è trasmessa all'Agenzia delle entrate e al Ministero dell'economia e delle finanze, ai fini dell'individuazione, nell'ambito dell'atto aggiuntivo di cui  al  comma  13  del  presente articolo, delle metodologie e procedure di riscossione più  proficue in termini di economicità della gestione e di recupero  dei  carichi di ruolo non riscossi</w:t>
      </w:r>
      <w:r w:rsidRPr="00EC14DE">
        <w:rPr>
          <w:rFonts w:cs="Times New Roman"/>
        </w:rPr>
        <w:t>” sono sostituite dalle seguenti “</w:t>
      </w:r>
      <w:r w:rsidRPr="00EC14DE">
        <w:rPr>
          <w:rFonts w:cs="Times New Roman"/>
          <w:iCs/>
        </w:rPr>
        <w:t>con evidenza dei dati relativi ai carichi di ruolo ad esso affidati, l'ammontare delle somme riscosse e i crediti ancora da riscuotere, le quote di credito divenute inesigibili, le procedure di riscossione che hanno condotto ai risultati conseguiti.  La relazione è trasmessa all'Agenzia delle entrate per la predisposizione del rapporto di cui all'articolo 10-bis.1 della legge 31 dicembre 2009, n. 196</w:t>
      </w:r>
      <w:r w:rsidRPr="00EC14DE">
        <w:rPr>
          <w:rFonts w:cs="Times New Roman"/>
        </w:rPr>
        <w:t>”;</w:t>
      </w:r>
    </w:p>
    <w:p w14:paraId="39BA7440" w14:textId="77777777" w:rsidR="00751ED4" w:rsidRPr="00EC14DE" w:rsidRDefault="00A27C60" w:rsidP="007C594F">
      <w:pPr>
        <w:widowControl w:val="0"/>
        <w:rPr>
          <w:rFonts w:eastAsia="Calibri" w:cs="Times New Roman"/>
        </w:rPr>
      </w:pPr>
      <w:r w:rsidRPr="00EC14DE">
        <w:rPr>
          <w:rFonts w:eastAsia="Calibri" w:cs="Times New Roman"/>
        </w:rPr>
        <w:t xml:space="preserve">2. </w:t>
      </w:r>
      <w:r w:rsidR="006F1486" w:rsidRPr="00EC14DE">
        <w:rPr>
          <w:rFonts w:eastAsia="Calibri" w:cs="Times New Roman"/>
        </w:rPr>
        <w:t xml:space="preserve">L’articolo 17 del decreto legislativo 13 aprile 1999, n. 112, è sostituito dal seguente </w:t>
      </w:r>
    </w:p>
    <w:p w14:paraId="410A9EC1" w14:textId="77777777" w:rsidR="00751ED4" w:rsidRPr="00EC14DE" w:rsidRDefault="006F1486" w:rsidP="007C594F">
      <w:pPr>
        <w:widowControl w:val="0"/>
        <w:jc w:val="center"/>
        <w:rPr>
          <w:rFonts w:eastAsia="Calibri" w:cs="Times New Roman"/>
          <w:iCs/>
        </w:rPr>
      </w:pPr>
      <w:r w:rsidRPr="00EC14DE">
        <w:rPr>
          <w:rFonts w:eastAsia="Calibri" w:cs="Times New Roman"/>
          <w:iCs/>
        </w:rPr>
        <w:t xml:space="preserve">“Art. 17 </w:t>
      </w:r>
      <w:r w:rsidR="008616B9" w:rsidRPr="00EC14DE">
        <w:rPr>
          <w:rFonts w:eastAsia="Calibri" w:cs="Times New Roman"/>
          <w:iCs/>
        </w:rPr>
        <w:br/>
      </w:r>
      <w:r w:rsidRPr="00EC14DE">
        <w:rPr>
          <w:rFonts w:eastAsia="Calibri" w:cs="Times New Roman"/>
          <w:iCs/>
        </w:rPr>
        <w:t>(Oneri di funzionamento del servizio nazionale della riscossione)</w:t>
      </w:r>
    </w:p>
    <w:p w14:paraId="4F793458" w14:textId="77777777" w:rsidR="006F1486" w:rsidRPr="00EC14DE" w:rsidRDefault="006F1486" w:rsidP="00946DC2">
      <w:pPr>
        <w:widowControl w:val="0"/>
        <w:ind w:left="426"/>
        <w:rPr>
          <w:iCs/>
        </w:rPr>
      </w:pPr>
      <w:r w:rsidRPr="00EC14DE">
        <w:rPr>
          <w:rFonts w:eastAsia="Calibri" w:cs="Times New Roman"/>
          <w:iCs/>
        </w:rPr>
        <w:t>1. Al fine di assicurare il funzionamento del servizio nazionale della riscossione, per il progressivo innalzamento del tasso di adesione spontanea agli obblighi tributari</w:t>
      </w:r>
      <w:r w:rsidR="0063174F" w:rsidRPr="00EC14DE">
        <w:rPr>
          <w:rFonts w:eastAsia="Calibri" w:cs="Times New Roman"/>
          <w:iCs/>
        </w:rPr>
        <w:t xml:space="preserve"> e per il presidio della funzione di deterrenza e contrasto dell'evasione</w:t>
      </w:r>
      <w:r w:rsidRPr="00EC14DE">
        <w:rPr>
          <w:rFonts w:eastAsia="Calibri" w:cs="Times New Roman"/>
          <w:iCs/>
        </w:rPr>
        <w:t>, l’agente della riscossione ha diritto alla copertura dei costi da sostenere per il servizio nazionale di riscossione</w:t>
      </w:r>
      <w:r w:rsidR="00A060D3" w:rsidRPr="00EC14DE">
        <w:rPr>
          <w:rFonts w:eastAsia="Calibri" w:cs="Times New Roman"/>
          <w:iCs/>
        </w:rPr>
        <w:t xml:space="preserve"> </w:t>
      </w:r>
      <w:r w:rsidR="00A060D3" w:rsidRPr="00EC14DE">
        <w:rPr>
          <w:iCs/>
        </w:rPr>
        <w:t xml:space="preserve">a valere sulle risorse a tal fine stanziate sul bilancio dello Stato, in relazione a quanto previsto </w:t>
      </w:r>
      <w:r w:rsidR="008C5EE4" w:rsidRPr="00EC14DE">
        <w:rPr>
          <w:iCs/>
        </w:rPr>
        <w:t>dall’articolo</w:t>
      </w:r>
      <w:r w:rsidR="00A060D3" w:rsidRPr="00EC14DE">
        <w:rPr>
          <w:iCs/>
        </w:rPr>
        <w:t xml:space="preserve"> 1</w:t>
      </w:r>
      <w:r w:rsidR="008C5EE4" w:rsidRPr="00EC14DE">
        <w:rPr>
          <w:iCs/>
        </w:rPr>
        <w:t>,</w:t>
      </w:r>
      <w:r w:rsidR="00A060D3" w:rsidRPr="00EC14DE">
        <w:rPr>
          <w:iCs/>
        </w:rPr>
        <w:t xml:space="preserve"> comma 13, lettera </w:t>
      </w:r>
      <w:r w:rsidR="00FB4DA9" w:rsidRPr="00EC14DE">
        <w:rPr>
          <w:iCs/>
        </w:rPr>
        <w:t>b</w:t>
      </w:r>
      <w:r w:rsidR="00A060D3" w:rsidRPr="00EC14DE">
        <w:rPr>
          <w:iCs/>
        </w:rPr>
        <w:t>)</w:t>
      </w:r>
      <w:r w:rsidR="008C5EE4" w:rsidRPr="00EC14DE">
        <w:rPr>
          <w:iCs/>
        </w:rPr>
        <w:t>,</w:t>
      </w:r>
      <w:r w:rsidR="00A060D3" w:rsidRPr="00EC14DE">
        <w:rPr>
          <w:iCs/>
        </w:rPr>
        <w:t xml:space="preserve"> del decreto-legge </w:t>
      </w:r>
      <w:r w:rsidR="0044242A" w:rsidRPr="00EC14DE">
        <w:rPr>
          <w:iCs/>
        </w:rPr>
        <w:t>22 ottobre 2016, n. 193</w:t>
      </w:r>
      <w:r w:rsidR="008C5EE4" w:rsidRPr="00EC14DE">
        <w:rPr>
          <w:iCs/>
        </w:rPr>
        <w:t>, convertito, con modificazioni, dalla legge 1° dicembre 2016, n. 225</w:t>
      </w:r>
      <w:r w:rsidRPr="00EC14DE">
        <w:rPr>
          <w:iCs/>
        </w:rPr>
        <w:t xml:space="preserve">. </w:t>
      </w:r>
    </w:p>
    <w:p w14:paraId="77D9F2D3" w14:textId="77777777" w:rsidR="00577C97" w:rsidRPr="00EC14DE" w:rsidRDefault="00D535EC" w:rsidP="00946DC2">
      <w:pPr>
        <w:widowControl w:val="0"/>
        <w:ind w:left="426"/>
        <w:rPr>
          <w:rFonts w:eastAsia="Calibri" w:cs="Times New Roman"/>
          <w:iCs/>
        </w:rPr>
      </w:pPr>
      <w:r w:rsidRPr="00EC14DE">
        <w:rPr>
          <w:rFonts w:eastAsia="Calibri" w:cs="Times New Roman"/>
          <w:iCs/>
        </w:rPr>
        <w:t>2</w:t>
      </w:r>
      <w:r w:rsidR="006F1486" w:rsidRPr="00EC14DE">
        <w:rPr>
          <w:rFonts w:eastAsia="Calibri" w:cs="Times New Roman"/>
          <w:iCs/>
        </w:rPr>
        <w:t xml:space="preserve">. </w:t>
      </w:r>
      <w:r w:rsidR="008C5EE4" w:rsidRPr="00EC14DE">
        <w:rPr>
          <w:rFonts w:eastAsia="Calibri" w:cs="Times New Roman"/>
          <w:iCs/>
        </w:rPr>
        <w:t>Resta f</w:t>
      </w:r>
      <w:r w:rsidR="006F1486" w:rsidRPr="00EC14DE">
        <w:rPr>
          <w:rFonts w:eastAsia="Calibri" w:cs="Times New Roman"/>
          <w:iCs/>
        </w:rPr>
        <w:t xml:space="preserve">ermo quanto previsto dall’articolo 1, comma 6-bis </w:t>
      </w:r>
      <w:r w:rsidR="008C5EE4" w:rsidRPr="00EC14DE">
        <w:rPr>
          <w:iCs/>
        </w:rPr>
        <w:t>del decreto-legge 22 ottobre 2016, n. 193, convertito, con modificazioni, dalla legge 1° dicembre 2016, n. 225</w:t>
      </w:r>
      <w:r w:rsidRPr="00EC14DE">
        <w:rPr>
          <w:iCs/>
        </w:rPr>
        <w:t>.</w:t>
      </w:r>
    </w:p>
    <w:p w14:paraId="7F458734" w14:textId="77777777" w:rsidR="00A9053B" w:rsidRDefault="006F1486" w:rsidP="00946DC2">
      <w:pPr>
        <w:widowControl w:val="0"/>
        <w:ind w:left="426"/>
        <w:rPr>
          <w:rFonts w:eastAsia="Calibri" w:cs="Times New Roman"/>
          <w:iCs/>
          <w:strike/>
        </w:rPr>
      </w:pPr>
      <w:r w:rsidRPr="00EC14DE">
        <w:rPr>
          <w:rFonts w:eastAsia="Calibri" w:cs="Times New Roman"/>
          <w:iCs/>
        </w:rPr>
        <w:t>3</w:t>
      </w:r>
      <w:r w:rsidRPr="00EC14DE">
        <w:rPr>
          <w:iCs/>
        </w:rPr>
        <w:t>.</w:t>
      </w:r>
      <w:r w:rsidR="00577C97" w:rsidRPr="00EC14DE">
        <w:rPr>
          <w:iCs/>
        </w:rPr>
        <w:t xml:space="preserve"> Sono riversate ed acquisite all’entrata del bilancio dello Stato:</w:t>
      </w:r>
      <w:r w:rsidR="00946DC2" w:rsidRPr="00EC14DE">
        <w:rPr>
          <w:iCs/>
        </w:rPr>
        <w:t xml:space="preserve"> </w:t>
      </w:r>
    </w:p>
    <w:p w14:paraId="2960CE27" w14:textId="77777777" w:rsidR="006F1486" w:rsidRPr="00EC14DE" w:rsidRDefault="006F1486" w:rsidP="00946DC2">
      <w:pPr>
        <w:widowControl w:val="0"/>
        <w:ind w:left="426"/>
        <w:rPr>
          <w:rFonts w:eastAsia="Calibri" w:cs="Times New Roman"/>
          <w:iCs/>
        </w:rPr>
      </w:pPr>
      <w:r w:rsidRPr="00EC14DE">
        <w:rPr>
          <w:rFonts w:eastAsia="Calibri" w:cs="Times New Roman"/>
          <w:iCs/>
        </w:rPr>
        <w:t>a) una quota, a carico del debitore, denominata spese esecutive, correlata all’attivazione di procedure esecutive e cautelari da parte dell’agente della riscossione, nella misura fissata con decreto non regolamentare del Ministro dell'economia e delle finanze, che individua anche le tipologie di spese oggetto di rimborso;</w:t>
      </w:r>
    </w:p>
    <w:p w14:paraId="01D1762E" w14:textId="77777777" w:rsidR="006F1486" w:rsidRPr="00EC14DE" w:rsidRDefault="006F1486" w:rsidP="00946DC2">
      <w:pPr>
        <w:widowControl w:val="0"/>
        <w:ind w:left="426"/>
        <w:rPr>
          <w:rFonts w:eastAsia="Calibri" w:cs="Times New Roman"/>
          <w:iCs/>
        </w:rPr>
      </w:pPr>
      <w:r w:rsidRPr="00EC14DE">
        <w:rPr>
          <w:rFonts w:eastAsia="Calibri" w:cs="Times New Roman"/>
          <w:iCs/>
        </w:rPr>
        <w:t xml:space="preserve">b) una quota, a carico del debitore, correlata alla notifica della cartella di pagamento e degli altri atti di riscossione, da determinare con il decreto di cui alla lettera a); </w:t>
      </w:r>
    </w:p>
    <w:p w14:paraId="5BAF652D" w14:textId="77777777" w:rsidR="006F1486" w:rsidRPr="00EC14DE" w:rsidRDefault="006F1486" w:rsidP="00946DC2">
      <w:pPr>
        <w:widowControl w:val="0"/>
        <w:ind w:left="426"/>
        <w:rPr>
          <w:rFonts w:eastAsia="Calibri" w:cs="Times New Roman"/>
          <w:iCs/>
        </w:rPr>
      </w:pPr>
      <w:r w:rsidRPr="00EC14DE">
        <w:rPr>
          <w:rFonts w:eastAsia="Calibri" w:cs="Times New Roman"/>
          <w:iCs/>
        </w:rPr>
        <w:t xml:space="preserve">c) una quota, a carico degli enti creditori, diversi dalle amministrazioni statali, dalle agenzie fiscali e dagli enti pubblici previdenziali, trattenuta all’atto dei riversamenti, a qualsiasi titolo, in favore di tali enti, in caso di emanazione da parte dell'ente medesimo di un provvedimento che riconosce in tutto o in parte non dovute le somme affidate, nella misura determinata con il decreto di cui alla lettera a); </w:t>
      </w:r>
    </w:p>
    <w:p w14:paraId="72C95E77" w14:textId="77777777" w:rsidR="006F1486" w:rsidRPr="00EC14DE" w:rsidRDefault="006F1486" w:rsidP="00946DC2">
      <w:pPr>
        <w:widowControl w:val="0"/>
        <w:ind w:left="426"/>
        <w:rPr>
          <w:rFonts w:eastAsia="Calibri" w:cs="Times New Roman"/>
          <w:iCs/>
        </w:rPr>
      </w:pPr>
      <w:r w:rsidRPr="00EC14DE">
        <w:rPr>
          <w:rFonts w:eastAsia="Calibri" w:cs="Times New Roman"/>
          <w:iCs/>
        </w:rPr>
        <w:t xml:space="preserve">d) una quota, trattenuta all’atto del riversamento, pari all’1% delle somme riscosse, a carico degli enti creditori, diversi dalle amministrazioni statali, dalle agenzie fiscali e dagli enti pubblici previdenziali, che si avvalgono </w:t>
      </w:r>
      <w:r w:rsidR="006D2E4D" w:rsidRPr="00EC14DE">
        <w:rPr>
          <w:rFonts w:eastAsia="Calibri" w:cs="Times New Roman"/>
          <w:iCs/>
        </w:rPr>
        <w:t>dell’agente della riscossione</w:t>
      </w:r>
      <w:r w:rsidRPr="00EC14DE">
        <w:rPr>
          <w:rFonts w:eastAsia="Calibri" w:cs="Times New Roman"/>
          <w:iCs/>
        </w:rPr>
        <w:t xml:space="preserve">. Tale quota può essere rimodulata fino alla metà, in aumento o in diminuzione, con decreto non regolamentare del Ministro dell’Economia e delle Finanze, tenuto conto dei carichi annui affidati e dell'andamento della riscossione. </w:t>
      </w:r>
    </w:p>
    <w:p w14:paraId="3239FA63" w14:textId="77777777" w:rsidR="006F1486" w:rsidRPr="00EC14DE" w:rsidRDefault="006F1486" w:rsidP="00946DC2">
      <w:pPr>
        <w:widowControl w:val="0"/>
        <w:ind w:left="426"/>
        <w:rPr>
          <w:rFonts w:eastAsia="Calibri" w:cs="Times New Roman"/>
          <w:iCs/>
        </w:rPr>
      </w:pPr>
      <w:r w:rsidRPr="00EC14DE">
        <w:rPr>
          <w:rFonts w:eastAsia="Calibri" w:cs="Times New Roman"/>
          <w:iCs/>
        </w:rPr>
        <w:t>4. Le quote riscosse ai sensi del comma 3 del presente articolo sono riversate dall’agente della riscossione ad apposito capitolo di entrata del bilancio dello Stato entro il giorno quindici del mese successivo a quello in cui l’agente della riscossione ha la disponibilità delle somme e delle informazioni complete relative all'operazione di versamento effettuata dal debitore”.</w:t>
      </w:r>
    </w:p>
    <w:p w14:paraId="754764E1" w14:textId="77777777" w:rsidR="006F1486" w:rsidRPr="00EC14DE" w:rsidRDefault="006F1486" w:rsidP="007C594F">
      <w:pPr>
        <w:widowControl w:val="0"/>
        <w:tabs>
          <w:tab w:val="left" w:pos="392"/>
        </w:tabs>
        <w:rPr>
          <w:rFonts w:eastAsia="Calibri" w:cs="Times New Roman"/>
        </w:rPr>
      </w:pPr>
      <w:r w:rsidRPr="00EC14DE">
        <w:rPr>
          <w:rFonts w:eastAsia="Calibri" w:cs="Times New Roman"/>
          <w:bCs/>
        </w:rPr>
        <w:t>3</w:t>
      </w:r>
      <w:r w:rsidRPr="00EC14DE">
        <w:rPr>
          <w:rFonts w:eastAsia="Calibri" w:cs="Times New Roman"/>
        </w:rPr>
        <w:t>. Le disposizioni dei commi 1 e 2 si applicano a decorrere dal 1° gennaio 2022. Fino alla data di entrata in vigore del decreto di cui all’articolo 17, comma 3, lettera a), del decreto legislativo n. 112 del 1999, come modificato dal comma 2 del presente articolo, continua ad applicarsi, in quanto compatibile, il decreto del Direttore generale del Dipartimento delle entrate del Ministero delle finanze del 21 novembre 2000.</w:t>
      </w:r>
    </w:p>
    <w:p w14:paraId="4EF5FF6D" w14:textId="77777777" w:rsidR="006F1486" w:rsidRPr="00EC14DE" w:rsidRDefault="006F1486" w:rsidP="007C594F">
      <w:pPr>
        <w:widowControl w:val="0"/>
        <w:tabs>
          <w:tab w:val="left" w:pos="326"/>
        </w:tabs>
        <w:rPr>
          <w:rFonts w:eastAsia="Calibri" w:cs="Times New Roman"/>
        </w:rPr>
      </w:pPr>
      <w:r w:rsidRPr="00EC14DE">
        <w:rPr>
          <w:rFonts w:eastAsia="Calibri" w:cs="Times New Roman"/>
          <w:bCs/>
        </w:rPr>
        <w:t>4</w:t>
      </w:r>
      <w:r w:rsidRPr="00EC14DE">
        <w:rPr>
          <w:rFonts w:eastAsia="Calibri" w:cs="Times New Roman"/>
        </w:rPr>
        <w:t>. Per i carichi affidati fino al 31 dicembre 2021 restano fermi, nella misura e secondo la ripartizione previste dalle disposizioni vigenti fino alla data di entrata in vigore della presente legge:</w:t>
      </w:r>
    </w:p>
    <w:p w14:paraId="4E54E3D2" w14:textId="77777777" w:rsidR="006F1486" w:rsidRPr="00EC14DE" w:rsidRDefault="006F1486" w:rsidP="007C594F">
      <w:pPr>
        <w:widowControl w:val="0"/>
        <w:ind w:left="631" w:hanging="284"/>
        <w:rPr>
          <w:rFonts w:eastAsia="Calibri" w:cs="Times New Roman"/>
        </w:rPr>
      </w:pPr>
      <w:r w:rsidRPr="00EC14DE">
        <w:rPr>
          <w:rFonts w:eastAsia="Calibri" w:cs="Times New Roman"/>
        </w:rPr>
        <w:t>a) l’aggio e gli oneri di riscossione dell’agente della riscossione;</w:t>
      </w:r>
    </w:p>
    <w:p w14:paraId="29B4C65C" w14:textId="77777777" w:rsidR="006F1486" w:rsidRPr="00EC14DE" w:rsidRDefault="006F1486" w:rsidP="007C594F">
      <w:pPr>
        <w:widowControl w:val="0"/>
        <w:ind w:left="631" w:hanging="284"/>
        <w:rPr>
          <w:rFonts w:eastAsia="Calibri" w:cs="Times New Roman"/>
        </w:rPr>
      </w:pPr>
      <w:r w:rsidRPr="00EC14DE">
        <w:rPr>
          <w:rFonts w:eastAsia="Calibri" w:cs="Times New Roman"/>
        </w:rPr>
        <w:t>b) limitatamente alle attività svolte fino alla stessa data del 31 dicembre 2021, il rimborso delle spese relative alle procedure esecutive e alla notifica della cartella di pagamento.</w:t>
      </w:r>
    </w:p>
    <w:p w14:paraId="172A6D73" w14:textId="77777777" w:rsidR="006F1486" w:rsidRPr="00EC14DE" w:rsidRDefault="006F1486" w:rsidP="007C594F">
      <w:pPr>
        <w:widowControl w:val="0"/>
        <w:tabs>
          <w:tab w:val="left" w:pos="288"/>
        </w:tabs>
        <w:rPr>
          <w:rFonts w:eastAsia="Calibri" w:cs="Times New Roman"/>
        </w:rPr>
      </w:pPr>
      <w:r w:rsidRPr="00EC14DE">
        <w:rPr>
          <w:rFonts w:eastAsia="Calibri" w:cs="Times New Roman"/>
          <w:bCs/>
        </w:rPr>
        <w:t>5</w:t>
      </w:r>
      <w:r w:rsidRPr="00EC14DE">
        <w:rPr>
          <w:rFonts w:eastAsia="Calibri" w:cs="Times New Roman"/>
        </w:rPr>
        <w:t xml:space="preserve">. L’aggio e gli oneri di riscossione di cui al comma 4, lettera a), sono riversati dall’agente della riscossione ad apposito capitolo di entrata del bilancio dello Stato entro il giorno quindici del mese successivo a quello in cui il medesimo agente ha la disponibilità di tali somme e delle informazioni riguardanti l’operazione di versamento effettuata dal debitore. Le spese di cui al comma 4, lettera b), oggetto di piani di rimborso concordati o stabiliti dalla legge entro il 31 dicembre 2021 ovvero non anticipate dall’ente creditore sono trattenute dall’agente della riscossione; le restanti spese di cui allo stesso comma 4, lettera b), sono riversate agli enti creditori che le hanno anticipate, ai sensi dell’articolo 17, comma 3, ultimo periodo, del decreto legislativo n. 112 del 1999, nel testo vigente fino alla data di entrata in vigore della presente legge. </w:t>
      </w:r>
    </w:p>
    <w:p w14:paraId="51B586D4" w14:textId="77777777" w:rsidR="00751ED4" w:rsidRPr="00EC14DE" w:rsidRDefault="006F1486" w:rsidP="007C594F">
      <w:pPr>
        <w:widowControl w:val="0"/>
        <w:tabs>
          <w:tab w:val="left" w:pos="288"/>
        </w:tabs>
        <w:rPr>
          <w:rFonts w:eastAsia="Calibri" w:cs="Times New Roman"/>
        </w:rPr>
      </w:pPr>
      <w:r w:rsidRPr="00EC14DE">
        <w:rPr>
          <w:rFonts w:eastAsia="Calibri" w:cs="Times New Roman"/>
          <w:bCs/>
        </w:rPr>
        <w:t>6</w:t>
      </w:r>
      <w:r w:rsidRPr="00EC14DE">
        <w:rPr>
          <w:rFonts w:eastAsia="Calibri" w:cs="Times New Roman"/>
        </w:rPr>
        <w:t xml:space="preserve">. Con riferimento ai carichi di cui al comma 4, relativamente alle attività svolte dal 1° gennaio 2022 si applica la ripartizione del rimborso delle spese relative alle procedure esecutive e alla notifica della cartella di pagamento prevista dallo stesso comma 4 e le somme riscosse a tale titolo, nella misura stabilita dalle disposizioni vigenti alla data di maturazione, sono riversate dall’agente della riscossione ad apposito capitolo di entrata del bilancio dello Stato, entro il giorno quindici del mese successivo a quello in cui il medesimo agente ha la disponibilità di tali somme e delle informazioni complete riguardanti l’operazione di versamento effettuata dal debitore. </w:t>
      </w:r>
    </w:p>
    <w:p w14:paraId="3C0259BE" w14:textId="77777777" w:rsidR="006F1486" w:rsidRPr="00EC14DE" w:rsidRDefault="006F1486" w:rsidP="007C594F">
      <w:pPr>
        <w:widowControl w:val="0"/>
        <w:tabs>
          <w:tab w:val="left" w:pos="288"/>
        </w:tabs>
        <w:rPr>
          <w:rFonts w:eastAsia="Calibri" w:cs="Times New Roman"/>
        </w:rPr>
      </w:pPr>
      <w:r w:rsidRPr="00EC14DE">
        <w:rPr>
          <w:rFonts w:eastAsia="Calibri" w:cs="Times New Roman"/>
          <w:bCs/>
        </w:rPr>
        <w:t>7</w:t>
      </w:r>
      <w:r w:rsidRPr="00EC14DE">
        <w:rPr>
          <w:rFonts w:eastAsia="Calibri" w:cs="Times New Roman"/>
        </w:rPr>
        <w:t xml:space="preserve">. </w:t>
      </w:r>
      <w:bookmarkStart w:id="7" w:name="_Hlk85465489"/>
      <w:r w:rsidRPr="00EC14DE">
        <w:rPr>
          <w:rFonts w:eastAsia="Calibri" w:cs="Times New Roman"/>
        </w:rPr>
        <w:t>A</w:t>
      </w:r>
      <w:r w:rsidRPr="00EC14DE">
        <w:rPr>
          <w:rFonts w:cs="Times New Roman"/>
        </w:rPr>
        <w:t>ll’articolo 1 della legge 30 dicembre 2018, n. 145</w:t>
      </w:r>
      <w:r w:rsidRPr="00EC14DE">
        <w:rPr>
          <w:rFonts w:cs="Times New Roman"/>
          <w:iCs/>
        </w:rPr>
        <w:t xml:space="preserve">, </w:t>
      </w:r>
      <w:r w:rsidRPr="00EC14DE">
        <w:rPr>
          <w:rFonts w:cs="Times New Roman"/>
        </w:rPr>
        <w:t>sono apportate le seguenti modificazioni</w:t>
      </w:r>
      <w:r w:rsidRPr="00EC14DE">
        <w:rPr>
          <w:rFonts w:cs="Times New Roman"/>
          <w:iCs/>
        </w:rPr>
        <w:t>:</w:t>
      </w:r>
    </w:p>
    <w:p w14:paraId="4139A8FD" w14:textId="77777777" w:rsidR="006F1486" w:rsidRPr="00EC14DE" w:rsidRDefault="006F1486" w:rsidP="005208B4">
      <w:pPr>
        <w:widowControl w:val="0"/>
        <w:numPr>
          <w:ilvl w:val="0"/>
          <w:numId w:val="14"/>
        </w:numPr>
        <w:tabs>
          <w:tab w:val="left" w:pos="288"/>
        </w:tabs>
        <w:ind w:left="714" w:hanging="357"/>
        <w:jc w:val="left"/>
        <w:rPr>
          <w:rFonts w:cs="Times New Roman"/>
          <w:iCs/>
        </w:rPr>
      </w:pPr>
      <w:r w:rsidRPr="00EC14DE">
        <w:rPr>
          <w:rFonts w:cs="Times New Roman"/>
        </w:rPr>
        <w:t xml:space="preserve">nel comma 326, le parole </w:t>
      </w:r>
      <w:r w:rsidRPr="00EC14DE">
        <w:rPr>
          <w:rFonts w:cs="Times New Roman"/>
          <w:iCs/>
        </w:rPr>
        <w:t xml:space="preserve">“triennio 2020-2022” </w:t>
      </w:r>
      <w:r w:rsidRPr="00EC14DE">
        <w:rPr>
          <w:rFonts w:cs="Times New Roman"/>
        </w:rPr>
        <w:t>sono sostituite dalle seguenti</w:t>
      </w:r>
      <w:r w:rsidRPr="00EC14DE">
        <w:rPr>
          <w:rFonts w:cs="Times New Roman"/>
          <w:iCs/>
        </w:rPr>
        <w:t xml:space="preserve"> “biennio 2020-2021”; </w:t>
      </w:r>
      <w:r w:rsidRPr="00EC14DE">
        <w:rPr>
          <w:rFonts w:cs="Times New Roman"/>
        </w:rPr>
        <w:t>le parole</w:t>
      </w:r>
      <w:r w:rsidRPr="00EC14DE">
        <w:rPr>
          <w:rFonts w:cs="Times New Roman"/>
          <w:iCs/>
        </w:rPr>
        <w:t xml:space="preserve"> “, 212 milioni per l'anno 2021” </w:t>
      </w:r>
      <w:r w:rsidRPr="00EC14DE">
        <w:rPr>
          <w:rFonts w:cs="Times New Roman"/>
        </w:rPr>
        <w:t>sono sostituite dalle seguenti</w:t>
      </w:r>
      <w:r w:rsidRPr="00EC14DE">
        <w:rPr>
          <w:rFonts w:cs="Times New Roman"/>
          <w:iCs/>
        </w:rPr>
        <w:t xml:space="preserve"> “e 250 milioni per l’anno 2021,”; </w:t>
      </w:r>
      <w:r w:rsidRPr="00EC14DE">
        <w:rPr>
          <w:rFonts w:cs="Times New Roman"/>
        </w:rPr>
        <w:t>le parole</w:t>
      </w:r>
      <w:r w:rsidRPr="00EC14DE">
        <w:rPr>
          <w:rFonts w:cs="Times New Roman"/>
          <w:iCs/>
        </w:rPr>
        <w:t xml:space="preserve"> “e 38 milioni per l'anno 2022” </w:t>
      </w:r>
      <w:r w:rsidRPr="00EC14DE">
        <w:rPr>
          <w:rFonts w:cs="Times New Roman"/>
        </w:rPr>
        <w:t>sono eliminate</w:t>
      </w:r>
      <w:r w:rsidRPr="00EC14DE">
        <w:rPr>
          <w:rFonts w:cs="Times New Roman"/>
          <w:iCs/>
        </w:rPr>
        <w:t>;</w:t>
      </w:r>
    </w:p>
    <w:p w14:paraId="5C14B904" w14:textId="77777777" w:rsidR="006F1486" w:rsidRPr="00EC14DE" w:rsidRDefault="006F1486" w:rsidP="005208B4">
      <w:pPr>
        <w:widowControl w:val="0"/>
        <w:numPr>
          <w:ilvl w:val="0"/>
          <w:numId w:val="14"/>
        </w:numPr>
        <w:tabs>
          <w:tab w:val="left" w:pos="288"/>
        </w:tabs>
        <w:rPr>
          <w:rFonts w:cs="Times New Roman"/>
          <w:iCs/>
        </w:rPr>
      </w:pPr>
      <w:r w:rsidRPr="00EC14DE">
        <w:rPr>
          <w:rFonts w:cs="Times New Roman"/>
        </w:rPr>
        <w:t>nel comma 327, le parole</w:t>
      </w:r>
      <w:r w:rsidRPr="00EC14DE">
        <w:rPr>
          <w:rFonts w:cs="Times New Roman"/>
          <w:iCs/>
        </w:rPr>
        <w:t xml:space="preserve"> “212 milioni” </w:t>
      </w:r>
      <w:r w:rsidRPr="00EC14DE">
        <w:rPr>
          <w:rFonts w:cs="Times New Roman"/>
        </w:rPr>
        <w:t>sono sostituite dalle seguenti</w:t>
      </w:r>
      <w:r w:rsidRPr="00EC14DE">
        <w:rPr>
          <w:rFonts w:cs="Times New Roman"/>
          <w:iCs/>
        </w:rPr>
        <w:t>: “250 milioni”;</w:t>
      </w:r>
    </w:p>
    <w:p w14:paraId="220AB6C1" w14:textId="77777777" w:rsidR="006F1486" w:rsidRPr="00EC14DE" w:rsidRDefault="006F1486" w:rsidP="005208B4">
      <w:pPr>
        <w:widowControl w:val="0"/>
        <w:numPr>
          <w:ilvl w:val="0"/>
          <w:numId w:val="14"/>
        </w:numPr>
        <w:tabs>
          <w:tab w:val="left" w:pos="288"/>
        </w:tabs>
        <w:rPr>
          <w:rFonts w:cs="Times New Roman"/>
          <w:iCs/>
        </w:rPr>
      </w:pPr>
      <w:r w:rsidRPr="00EC14DE">
        <w:rPr>
          <w:rFonts w:cs="Times New Roman"/>
        </w:rPr>
        <w:t>Il comma 328 è abrogato</w:t>
      </w:r>
      <w:r w:rsidRPr="00EC14DE">
        <w:rPr>
          <w:rFonts w:cs="Times New Roman"/>
          <w:iCs/>
        </w:rPr>
        <w:t>.</w:t>
      </w:r>
    </w:p>
    <w:bookmarkEnd w:id="7"/>
    <w:p w14:paraId="1011DDF6" w14:textId="77777777" w:rsidR="006F1486" w:rsidRPr="00EC14DE" w:rsidRDefault="006F1486" w:rsidP="007C594F">
      <w:pPr>
        <w:widowControl w:val="0"/>
        <w:tabs>
          <w:tab w:val="left" w:pos="288"/>
        </w:tabs>
        <w:rPr>
          <w:rFonts w:cs="Times New Roman"/>
          <w:iCs/>
        </w:rPr>
      </w:pPr>
      <w:r w:rsidRPr="00EC14DE">
        <w:rPr>
          <w:rFonts w:cs="Times New Roman"/>
          <w:iCs/>
        </w:rPr>
        <w:t>8 Al comma 2 dell’articolo 62 del decreto legislativo 30 luglio 1999, n. 300, è aggiunto in fine il seguente periodo: “</w:t>
      </w:r>
      <w:r w:rsidR="006356EA" w:rsidRPr="00EC14DE">
        <w:rPr>
          <w:rFonts w:cs="Times New Roman"/>
          <w:iCs/>
        </w:rPr>
        <w:t xml:space="preserve">Le </w:t>
      </w:r>
      <w:r w:rsidRPr="00EC14DE">
        <w:rPr>
          <w:rFonts w:cs="Times New Roman"/>
          <w:iCs/>
        </w:rPr>
        <w:t xml:space="preserve">funzioni </w:t>
      </w:r>
      <w:r w:rsidR="006356EA" w:rsidRPr="00EC14DE">
        <w:rPr>
          <w:rFonts w:cs="Times New Roman"/>
          <w:iCs/>
        </w:rPr>
        <w:t xml:space="preserve">e i compiti </w:t>
      </w:r>
      <w:r w:rsidRPr="00EC14DE">
        <w:rPr>
          <w:rFonts w:cs="Times New Roman"/>
          <w:iCs/>
        </w:rPr>
        <w:t>in materia di riscossione sono disciplinati dall’articolo 1 del decreto-legge 22 ottobre 2016, n. 193, convertito con modificazioni dalla legge 1° dicembre 2016, n. 225”.</w:t>
      </w:r>
    </w:p>
    <w:p w14:paraId="187CE3A9" w14:textId="77777777" w:rsidR="006F1486" w:rsidRPr="00EC14DE" w:rsidRDefault="006F1486" w:rsidP="007C594F">
      <w:pPr>
        <w:widowControl w:val="0"/>
        <w:tabs>
          <w:tab w:val="left" w:pos="288"/>
        </w:tabs>
        <w:rPr>
          <w:rFonts w:cs="Times New Roman"/>
        </w:rPr>
      </w:pPr>
      <w:r w:rsidRPr="00EC14DE">
        <w:rPr>
          <w:rFonts w:cs="Times New Roman"/>
        </w:rPr>
        <w:t xml:space="preserve">9. Entro novanta giorni dall'entrata in vigore della presente legge, lo statuto, il regolamento e gli atti di carattere generale che regolano il funzionamento dell’Agenzia delle entrate e dell’Agenzia delle entrate-Riscossione sono adeguati alle disposizioni di cui al presente articolo. </w:t>
      </w:r>
    </w:p>
    <w:p w14:paraId="0A369434" w14:textId="77777777" w:rsidR="00946DC2" w:rsidRPr="00EC14DE" w:rsidRDefault="00946DC2" w:rsidP="007C594F">
      <w:pPr>
        <w:widowControl w:val="0"/>
        <w:tabs>
          <w:tab w:val="left" w:pos="288"/>
        </w:tabs>
        <w:rPr>
          <w:rFonts w:cs="Times New Roman"/>
          <w:iCs/>
        </w:rPr>
      </w:pPr>
      <w:r w:rsidRPr="00EC14DE">
        <w:rPr>
          <w:rFonts w:cs="Times New Roman"/>
          <w:iCs/>
        </w:rPr>
        <w:t xml:space="preserve">10. Al fine di dare attuazione alle disposizioni del presente articolo è stanziata sullo stato di previsione del Ministero dell’economia e delle finanze la somma di 990 </w:t>
      </w:r>
      <w:r w:rsidR="00262F4B" w:rsidRPr="00EC14DE">
        <w:rPr>
          <w:rFonts w:cs="Times New Roman"/>
          <w:iCs/>
        </w:rPr>
        <w:t xml:space="preserve">milioni di euro a decorrere </w:t>
      </w:r>
      <w:r w:rsidRPr="00EC14DE">
        <w:rPr>
          <w:rFonts w:cs="Times New Roman"/>
          <w:iCs/>
        </w:rPr>
        <w:t>dall’anno 2022.</w:t>
      </w:r>
    </w:p>
    <w:p w14:paraId="6AE03F24" w14:textId="77777777" w:rsidR="001C4B82" w:rsidRPr="00EC14DE" w:rsidRDefault="001C4B82" w:rsidP="00314D57">
      <w:pPr>
        <w:pStyle w:val="Titolo3"/>
        <w:rPr>
          <w:rFonts w:eastAsia="Times New Roman"/>
          <w:szCs w:val="22"/>
        </w:rPr>
      </w:pPr>
      <w:r w:rsidRPr="00EC14DE">
        <w:t xml:space="preserve">ART. </w:t>
      </w:r>
      <w:r w:rsidRPr="00EC14DE">
        <w:fldChar w:fldCharType="begin"/>
      </w:r>
      <w:r w:rsidRPr="00EC14DE">
        <w:instrText xml:space="preserve"> AUTONUM  \* Arabic </w:instrText>
      </w:r>
      <w:r w:rsidRPr="00EC14DE">
        <w:fldChar w:fldCharType="end"/>
      </w:r>
      <w:r w:rsidR="00314D57" w:rsidRPr="00EC14DE">
        <w:br/>
        <w:t>(</w:t>
      </w:r>
      <w:r w:rsidR="00314D57" w:rsidRPr="00EC14DE">
        <w:rPr>
          <w:rFonts w:eastAsia="Times New Roman"/>
          <w:szCs w:val="22"/>
        </w:rPr>
        <w:t>Esenzione b</w:t>
      </w:r>
      <w:r w:rsidR="00314D57" w:rsidRPr="00EC14DE">
        <w:rPr>
          <w:rFonts w:eastAsia="Times New Roman"/>
        </w:rPr>
        <w:t>ollo su certificazioni digitali</w:t>
      </w:r>
      <w:r w:rsidR="00314D57" w:rsidRPr="00EC14DE">
        <w:rPr>
          <w:rFonts w:eastAsia="Times New Roman"/>
          <w:szCs w:val="22"/>
        </w:rPr>
        <w:t>)</w:t>
      </w:r>
    </w:p>
    <w:p w14:paraId="37E34762" w14:textId="77777777" w:rsidR="002F5642" w:rsidRPr="00EC14DE" w:rsidRDefault="002F5642" w:rsidP="002F5642">
      <w:pPr>
        <w:rPr>
          <w:rFonts w:eastAsia="Times New Roman" w:cs="Times New Roman"/>
        </w:rPr>
      </w:pPr>
      <w:r w:rsidRPr="00EC14DE">
        <w:rPr>
          <w:rFonts w:eastAsia="Times New Roman" w:cs="Times New Roman"/>
        </w:rPr>
        <w:t>1. All’articolo 62, comma 3, quarto periodo, del decreto legislativo 7 marzo 2005, n. 82, le parole “limitatamente all’anno 2021”</w:t>
      </w:r>
      <w:r w:rsidR="00B103D9" w:rsidRPr="00EC14DE">
        <w:rPr>
          <w:rFonts w:eastAsia="Times New Roman" w:cs="Times New Roman"/>
        </w:rPr>
        <w:t xml:space="preserve"> sono sostituite dalle seguenti</w:t>
      </w:r>
      <w:r w:rsidRPr="00EC14DE">
        <w:rPr>
          <w:rFonts w:eastAsia="Times New Roman" w:cs="Times New Roman"/>
        </w:rPr>
        <w:t xml:space="preserve"> “limitatamente agli anni 2021 e 2022”.</w:t>
      </w:r>
    </w:p>
    <w:p w14:paraId="25364575" w14:textId="77777777" w:rsidR="00C7284F" w:rsidRPr="00EC14DE" w:rsidRDefault="00B77853" w:rsidP="00E83C37">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Style w:val="s1"/>
          <w:rFonts w:cs="Times New Roman"/>
          <w:szCs w:val="22"/>
        </w:rPr>
        <w:t>(</w:t>
      </w:r>
      <w:r w:rsidR="00C7284F" w:rsidRPr="00EC14DE">
        <w:rPr>
          <w:rStyle w:val="s1"/>
          <w:rFonts w:cs="Times New Roman"/>
          <w:szCs w:val="22"/>
        </w:rPr>
        <w:t>Proroga della detassazione ai fini IRPEF dei redditi dominicali e agrari dichiarati dai coltivatori diretti e imprenditori agricoli</w:t>
      </w:r>
      <w:r w:rsidRPr="00EC14DE">
        <w:t>)</w:t>
      </w:r>
    </w:p>
    <w:p w14:paraId="2E135E97" w14:textId="77777777" w:rsidR="00C7284F" w:rsidRPr="00EC14DE" w:rsidRDefault="00C7284F" w:rsidP="007C594F">
      <w:pPr>
        <w:widowControl w:val="0"/>
        <w:rPr>
          <w:rFonts w:cs="Times New Roman"/>
        </w:rPr>
      </w:pPr>
      <w:r w:rsidRPr="00EC14DE">
        <w:rPr>
          <w:rFonts w:cs="Times New Roman"/>
        </w:rPr>
        <w:t>1. Al</w:t>
      </w:r>
      <w:r w:rsidR="00635D7C" w:rsidRPr="00EC14DE">
        <w:rPr>
          <w:rFonts w:cs="Times New Roman"/>
        </w:rPr>
        <w:t>l’articolo 1</w:t>
      </w:r>
      <w:r w:rsidRPr="00EC14DE">
        <w:rPr>
          <w:rFonts w:cs="Times New Roman"/>
        </w:rPr>
        <w:t xml:space="preserve">, </w:t>
      </w:r>
      <w:r w:rsidR="00635D7C" w:rsidRPr="00EC14DE">
        <w:rPr>
          <w:rFonts w:cs="Times New Roman"/>
        </w:rPr>
        <w:t>comma 44</w:t>
      </w:r>
      <w:r w:rsidRPr="00EC14DE">
        <w:rPr>
          <w:rFonts w:cs="Times New Roman"/>
        </w:rPr>
        <w:t>, della legge 11 dicembre 2016, n. 232</w:t>
      </w:r>
      <w:r w:rsidR="00F41556" w:rsidRPr="00EC14DE">
        <w:rPr>
          <w:rFonts w:cs="Times New Roman"/>
        </w:rPr>
        <w:t>,</w:t>
      </w:r>
      <w:r w:rsidRPr="00EC14DE">
        <w:rPr>
          <w:rFonts w:cs="Times New Roman"/>
        </w:rPr>
        <w:t xml:space="preserve"> le parole “Per gli anni 2017, 2018, 2019, 2020 e 2021,”</w:t>
      </w:r>
      <w:r w:rsidR="00F41556" w:rsidRPr="00EC14DE">
        <w:rPr>
          <w:rFonts w:cs="Times New Roman"/>
        </w:rPr>
        <w:t xml:space="preserve"> sono sostituite dalle seguenti</w:t>
      </w:r>
      <w:r w:rsidRPr="00EC14DE">
        <w:rPr>
          <w:rFonts w:cs="Times New Roman"/>
        </w:rPr>
        <w:t xml:space="preserve"> “Per gli anni 2017, 2018, 2019, 2020, 2021 e 2022,”. </w:t>
      </w:r>
    </w:p>
    <w:p w14:paraId="38208C77" w14:textId="77777777" w:rsidR="00CE3DF1" w:rsidRPr="00EC14DE" w:rsidRDefault="00CE3DF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(Potenziamento dei piani individuali di risparmio P.I.R.) </w:t>
      </w:r>
    </w:p>
    <w:p w14:paraId="53B98141" w14:textId="77777777" w:rsidR="007505A0" w:rsidRPr="00EC14DE" w:rsidRDefault="003C2209" w:rsidP="007C594F">
      <w:pPr>
        <w:widowControl w:val="0"/>
        <w:rPr>
          <w:rFonts w:cs="Times New Roman"/>
        </w:rPr>
      </w:pPr>
      <w:r w:rsidRPr="00EC14DE">
        <w:rPr>
          <w:rFonts w:cs="Times New Roman"/>
        </w:rPr>
        <w:t>1. Al comma 101, primo periodo, dell’articolo 1 della legge 11 dicembre 2016, n. 232, le parole «a 30.000 euro ed entro un limite complessivo non superiore a 150.000 euro» sono sostituite dalle seguenti: «a 40.000 euro ed entro un limite complessivo non superiore a 200.000 euro».</w:t>
      </w:r>
    </w:p>
    <w:p w14:paraId="0EA07428" w14:textId="77777777" w:rsidR="007505A0" w:rsidRPr="00EC14DE" w:rsidRDefault="007505A0" w:rsidP="007C594F">
      <w:pPr>
        <w:widowControl w:val="0"/>
        <w:rPr>
          <w:rFonts w:cs="Times New Roman"/>
        </w:rPr>
      </w:pPr>
    </w:p>
    <w:p w14:paraId="3C94D855" w14:textId="77777777" w:rsidR="008B0F00" w:rsidRPr="00EC14DE" w:rsidRDefault="008B0F00">
      <w:pPr>
        <w:spacing w:after="160" w:line="259" w:lineRule="auto"/>
        <w:jc w:val="left"/>
        <w:rPr>
          <w:rFonts w:eastAsiaTheme="majorEastAsia" w:cstheme="majorBidi"/>
          <w:b/>
          <w:sz w:val="24"/>
          <w:szCs w:val="32"/>
        </w:rPr>
      </w:pPr>
      <w:r w:rsidRPr="00EC14DE">
        <w:br w:type="page"/>
      </w:r>
    </w:p>
    <w:p w14:paraId="353BF864" w14:textId="77777777" w:rsidR="0040362B" w:rsidRPr="00EC14DE" w:rsidRDefault="0040362B" w:rsidP="007C594F">
      <w:pPr>
        <w:pStyle w:val="Titolo1"/>
        <w:keepNext w:val="0"/>
        <w:keepLines w:val="0"/>
        <w:widowControl w:val="0"/>
      </w:pPr>
      <w:r w:rsidRPr="00EC14DE">
        <w:t>Titolo</w:t>
      </w:r>
      <w:r w:rsidRPr="00EC14DE">
        <w:rPr>
          <w:noProof/>
        </w:rPr>
        <w:t xml:space="preserve"> III</w:t>
      </w:r>
      <w:r w:rsidRPr="00EC14DE">
        <w:rPr>
          <w:noProof/>
        </w:rPr>
        <w:br/>
      </w:r>
      <w:r w:rsidRPr="00EC14DE">
        <w:t>Crescita e investimenti</w:t>
      </w:r>
    </w:p>
    <w:p w14:paraId="58B4E10E" w14:textId="77777777" w:rsidR="00B434BF" w:rsidRPr="00EC14DE" w:rsidRDefault="00B434BF" w:rsidP="007C594F">
      <w:pPr>
        <w:pStyle w:val="Titolo1"/>
        <w:keepNext w:val="0"/>
        <w:keepLines w:val="0"/>
        <w:widowControl w:val="0"/>
      </w:pPr>
      <w:r w:rsidRPr="00EC14DE">
        <w:t>Capo I</w:t>
      </w:r>
      <w:r w:rsidRPr="00EC14DE">
        <w:br/>
      </w:r>
      <w:r w:rsidR="00B1356E" w:rsidRPr="00EC14DE">
        <w:t xml:space="preserve">Misure per la crescita </w:t>
      </w:r>
      <w:r w:rsidR="002529A8" w:rsidRPr="00EC14DE">
        <w:t>e per il s</w:t>
      </w:r>
      <w:r w:rsidR="0033319E" w:rsidRPr="00EC14DE">
        <w:t>ostegno alle imprese</w:t>
      </w:r>
    </w:p>
    <w:p w14:paraId="2E2AAFED" w14:textId="77777777" w:rsidR="0020548B" w:rsidRPr="00EC14DE" w:rsidRDefault="0020548B" w:rsidP="007C594F">
      <w:pPr>
        <w:pStyle w:val="Titolo3"/>
        <w:keepNext w:val="0"/>
        <w:keepLines w:val="0"/>
        <w:widowControl w:val="0"/>
        <w:rPr>
          <w:bCs/>
          <w:iCs/>
        </w:rPr>
      </w:pPr>
      <w:bookmarkStart w:id="8" w:name="_Toc86271205"/>
      <w:r w:rsidRPr="00EC14DE">
        <w:t xml:space="preserve">ART. </w:t>
      </w:r>
      <w:r w:rsidRPr="00EC14DE">
        <w:fldChar w:fldCharType="begin"/>
      </w:r>
      <w:r w:rsidRPr="00EC14DE">
        <w:instrText xml:space="preserve"> AUTONUM  \* Arabic </w:instrText>
      </w:r>
      <w:r w:rsidRPr="00EC14DE">
        <w:fldChar w:fldCharType="end"/>
      </w:r>
      <w:r w:rsidRPr="00EC14DE">
        <w:br/>
        <w:t>(Proroghe in materia di superbonus fiscale, di riqualificazione energetica, recupero del patrimonio edilizio, acquisto di mobili e grandi elettrodomestici, sistemazione a verde ed in materia di recupero o restauro della facciata esterna degli edifici)</w:t>
      </w:r>
      <w:bookmarkEnd w:id="8"/>
      <w:r w:rsidRPr="00EC14DE">
        <w:t xml:space="preserve"> </w:t>
      </w:r>
    </w:p>
    <w:p w14:paraId="36ABE8C5" w14:textId="77777777" w:rsidR="0020548B" w:rsidRPr="00EC14DE" w:rsidRDefault="0020548B" w:rsidP="007C594F">
      <w:pPr>
        <w:widowControl w:val="0"/>
        <w:rPr>
          <w:rFonts w:cs="Times New Roman"/>
        </w:rPr>
      </w:pPr>
      <w:r w:rsidRPr="00EC14DE">
        <w:rPr>
          <w:rFonts w:cs="Times New Roman"/>
        </w:rPr>
        <w:t>1. All’articolo 119 del decreto-legge 19 maggio 2020, n. 34, convertito, con modificazioni, dalla legge 17 luglio 2020, n. 77, sono apportate le seguenti modificazioni:</w:t>
      </w:r>
    </w:p>
    <w:p w14:paraId="7C0DA6F4" w14:textId="77777777" w:rsidR="0020548B" w:rsidRPr="00EC14DE" w:rsidRDefault="0020548B" w:rsidP="007C594F">
      <w:pPr>
        <w:widowControl w:val="0"/>
        <w:rPr>
          <w:rFonts w:cs="Times New Roman"/>
        </w:rPr>
      </w:pPr>
      <w:r w:rsidRPr="00EC14DE">
        <w:rPr>
          <w:rFonts w:cs="Times New Roman"/>
        </w:rPr>
        <w:t>a) al comma 1, alinea, al comma 4, terzo periodo, al comma 5, primo periodo e al comma 8, primo periodo, le parole “per la parte di spesa sostenuta nell'anno 2022”, sono sostituite dalle seguenti: “per la parte di spese sostenuta dal 1° gennaio 2022”;</w:t>
      </w:r>
    </w:p>
    <w:p w14:paraId="32CAD33B" w14:textId="77777777" w:rsidR="00DB709E" w:rsidRPr="00EC14DE" w:rsidRDefault="0020548B" w:rsidP="007C594F">
      <w:pPr>
        <w:widowControl w:val="0"/>
        <w:rPr>
          <w:rFonts w:cs="Times New Roman"/>
        </w:rPr>
      </w:pPr>
      <w:r w:rsidRPr="00EC14DE">
        <w:rPr>
          <w:rFonts w:cs="Times New Roman"/>
        </w:rPr>
        <w:t>b) al comma 3-bis, dopo le parole “dai soggetti di cui al comma 9, lettera c)” sono aggiunte le seguenti: “e dalle cooperative di cui al comma 9, lettera d)”;</w:t>
      </w:r>
    </w:p>
    <w:p w14:paraId="2A164A30" w14:textId="77777777" w:rsidR="00DB709E" w:rsidRPr="00EC14DE" w:rsidRDefault="0020548B" w:rsidP="007C594F">
      <w:pPr>
        <w:widowControl w:val="0"/>
        <w:rPr>
          <w:rFonts w:cs="Times New Roman"/>
        </w:rPr>
      </w:pPr>
      <w:r w:rsidRPr="00EC14DE">
        <w:rPr>
          <w:rFonts w:cs="Times New Roman"/>
        </w:rPr>
        <w:t>c) al comma 5, primo periodo, le parole “31 dicembre 2021” sono sostituite dalle seguenti: “30 giugno 2022”;</w:t>
      </w:r>
    </w:p>
    <w:p w14:paraId="3428DF6A" w14:textId="77777777" w:rsidR="00DB709E" w:rsidRPr="00EC14DE" w:rsidRDefault="001D45C6" w:rsidP="007C594F">
      <w:pPr>
        <w:widowControl w:val="0"/>
        <w:rPr>
          <w:rFonts w:cs="Times New Roman"/>
        </w:rPr>
      </w:pPr>
      <w:r w:rsidRPr="00EC14DE">
        <w:rPr>
          <w:rFonts w:cs="Times New Roman"/>
        </w:rPr>
        <w:t>d) il comma 8-bis è sostituito dal seguente: “8-bis. Per gli interventi effettuati dalle persone fisiche di cui al comma 9, lettera b), per i quali, alla data del 30 settembre 2021, ai sensi del comma 13-ter risulti effettuata la comunicazione di inizio lavori asseverata (CILA), ovvero, per quelli comportanti la demolizione e la ricostruzione degli edifici, risultino avviate le relative formalità amministrative per l’acquisizione del titolo abilitativo, la detrazione del 110 per cento spetta anche per le spese sostenute entro il 31 dicembre 2022. Per gli interventi effettuati dai condomini e dalle persone fisiche di cui al comma 9, lettera a), compresi quelli effettuati su edifici oggetto di demolizione e ricostruzione di cui all'articolo 3, comma 1, lettera d), del testo unico delle disposizioni legislative e regolamentari in materia edilizia, di cui al decreto del Presidente della Repubblica 6 giugno 2001, n. 380, la detrazione spetta anche per le spese sostenute entro il 31 dicembre 2025, nella misura del 110 per cento per quelle sostenute entro il 31 dicembre 2023, del 70 per cento per quelle sostenute nell’anno 2024 e del 65 per cento per quelle sostenute nell’anno 2025. Per gli interventi effettuati su unità immobiliari adibite ad abitazione principale dalle persone fisiche di cui al comma 9, lettera b), che hanno un valore dell'indicatore della situazione economica equivalente, stabilito ai sensi del regolamento di cui al decreto del Presidente del Consiglio dei Ministri 5 dicembre 2013, n. 159, non superiore a 25.000 euro annui, la detrazione del 110 per cento spetta anche per le spese sostenute entro il 31 dicembre 2022. Per gli interventi effettuati dai soggetti di cui al comma 9, lettera c), e dalle cooperative di cui al comma 9, lettera d), per i quali alla data del 30 giugno 2023 siano stati effettuati lavori per almeno il 60 per cento dell'intervento complessivo, la detrazione del 110 per cento spetta anche per le spese sostenute entro il 31 dicembre 2023.”;</w:t>
      </w:r>
    </w:p>
    <w:p w14:paraId="1F0FC664" w14:textId="77777777" w:rsidR="0020548B" w:rsidRPr="00EC14DE" w:rsidRDefault="001D45C6" w:rsidP="007C594F">
      <w:pPr>
        <w:widowControl w:val="0"/>
        <w:rPr>
          <w:rFonts w:cs="Times New Roman"/>
        </w:rPr>
      </w:pPr>
      <w:r w:rsidRPr="00EC14DE">
        <w:rPr>
          <w:rFonts w:cs="Times New Roman"/>
        </w:rPr>
        <w:t>e</w:t>
      </w:r>
      <w:r w:rsidR="0020548B" w:rsidRPr="00EC14DE">
        <w:rPr>
          <w:rFonts w:cs="Times New Roman"/>
        </w:rPr>
        <w:t xml:space="preserve">) al comma 13-bis, terzo periodo, dopo le parole “comma 13, lettera a)” sono aggiunte le parole “nonché ai valori massimi stabiliti, per talune categorie di beni, con decreto del Ministro </w:t>
      </w:r>
      <w:r w:rsidR="00BF6918" w:rsidRPr="00EC14DE">
        <w:rPr>
          <w:rFonts w:cs="Times New Roman"/>
        </w:rPr>
        <w:t>della transizione ecologica</w:t>
      </w:r>
      <w:r w:rsidR="0020548B" w:rsidRPr="00EC14DE">
        <w:rPr>
          <w:rFonts w:cs="Times New Roman"/>
        </w:rPr>
        <w:t>, da emanare entro trenta giorni dalla data di entrata in vigore della presente disposizione”.</w:t>
      </w:r>
    </w:p>
    <w:p w14:paraId="3B3ABED9" w14:textId="77777777" w:rsidR="00BF6918" w:rsidRPr="00EC14DE" w:rsidRDefault="00BF6918" w:rsidP="00BF6918">
      <w:pPr>
        <w:widowControl w:val="0"/>
        <w:rPr>
          <w:rFonts w:cs="Times New Roman"/>
        </w:rPr>
      </w:pPr>
      <w:r w:rsidRPr="00EC14DE">
        <w:rPr>
          <w:rFonts w:cs="Times New Roman"/>
        </w:rPr>
        <w:t>2. All’articolo 121 del decreto-legge 19 maggio 2020, n. 34, convertito, con modificazioni, dalla legge 17 luglio 2020, n. 77, sono apportate le seguenti modificazioni:</w:t>
      </w:r>
    </w:p>
    <w:p w14:paraId="57B86079" w14:textId="77777777" w:rsidR="00BF6918" w:rsidRPr="00EC14DE" w:rsidRDefault="00BF6918" w:rsidP="00BF6918">
      <w:pPr>
        <w:widowControl w:val="0"/>
        <w:rPr>
          <w:rFonts w:cs="Times New Roman"/>
        </w:rPr>
      </w:pPr>
      <w:r w:rsidRPr="00EC14DE">
        <w:rPr>
          <w:rFonts w:cs="Times New Roman"/>
        </w:rPr>
        <w:t>a) al comma 1, alinea, le parole “negli anni 2020 e 2021” sono sostituite dalle seguenti: “negli anni 2020, 2021, 2022, 2023 e 2024”;</w:t>
      </w:r>
    </w:p>
    <w:p w14:paraId="5759F366" w14:textId="77777777" w:rsidR="00BF6918" w:rsidRPr="00EC14DE" w:rsidRDefault="00BF6918" w:rsidP="00BF6918">
      <w:pPr>
        <w:widowControl w:val="0"/>
        <w:rPr>
          <w:rFonts w:cs="Times New Roman"/>
        </w:rPr>
      </w:pPr>
      <w:r w:rsidRPr="00EC14DE">
        <w:rPr>
          <w:rFonts w:cs="Times New Roman"/>
        </w:rPr>
        <w:t>b) al comma 7-bis le parole “nell'anno 2022” sono sostituite dalle seguenti: “dal 1° gennaio 2022 al 31 dicembre 2025”.</w:t>
      </w:r>
    </w:p>
    <w:p w14:paraId="30DB6A0B" w14:textId="77777777" w:rsidR="0020548B" w:rsidRPr="00EC14DE" w:rsidRDefault="0020548B" w:rsidP="00BF6918">
      <w:pPr>
        <w:widowControl w:val="0"/>
        <w:rPr>
          <w:rFonts w:cs="Times New Roman"/>
        </w:rPr>
      </w:pPr>
      <w:r w:rsidRPr="00EC14DE">
        <w:rPr>
          <w:rFonts w:cs="Times New Roman"/>
        </w:rPr>
        <w:t>3. Al decreto-legge 4 giugno 2013, n. 63, convertito, con modificazioni, dalla legge 3 agosto 2013, n. 90, sono apportate le seguenti modificazioni:</w:t>
      </w:r>
    </w:p>
    <w:p w14:paraId="6C80079A" w14:textId="77777777" w:rsidR="0020548B" w:rsidRPr="00EC14DE" w:rsidRDefault="0020548B" w:rsidP="007C594F">
      <w:pPr>
        <w:widowControl w:val="0"/>
        <w:rPr>
          <w:rFonts w:cs="Times New Roman"/>
        </w:rPr>
      </w:pPr>
      <w:r w:rsidRPr="00EC14DE">
        <w:rPr>
          <w:rFonts w:cs="Times New Roman"/>
        </w:rPr>
        <w:t>a) all’articolo 14, concernente detrazioni fiscali per interventi di efficienza energetica:</w:t>
      </w:r>
    </w:p>
    <w:p w14:paraId="06B09676" w14:textId="77777777" w:rsidR="0020548B" w:rsidRPr="00EC14DE" w:rsidRDefault="0020548B" w:rsidP="007C594F">
      <w:pPr>
        <w:widowControl w:val="0"/>
        <w:ind w:left="708"/>
        <w:rPr>
          <w:rFonts w:cs="Times New Roman"/>
        </w:rPr>
      </w:pPr>
      <w:r w:rsidRPr="00EC14DE">
        <w:rPr>
          <w:rFonts w:cs="Times New Roman"/>
        </w:rPr>
        <w:t>1) al comma 1, al comma 2, lettere a), b) e b-bis), e al comma 2-quater, le parole “31 dicembre 2021” sono sostituite dalle seguenti: “31 dicembre 2024”;</w:t>
      </w:r>
    </w:p>
    <w:p w14:paraId="3F88D58E" w14:textId="77777777" w:rsidR="0020548B" w:rsidRPr="00EC14DE" w:rsidRDefault="0020548B" w:rsidP="007C594F">
      <w:pPr>
        <w:widowControl w:val="0"/>
        <w:ind w:left="708"/>
        <w:rPr>
          <w:rFonts w:cs="Times New Roman"/>
        </w:rPr>
      </w:pPr>
      <w:r w:rsidRPr="00EC14DE">
        <w:rPr>
          <w:rFonts w:cs="Times New Roman"/>
        </w:rPr>
        <w:t xml:space="preserve">2) al comma 2-bis, le parole “nell’anno 2021” sono sostituite dalle seguenti: “dal 1° gennaio 2021 al 31 dicembre 2024”; </w:t>
      </w:r>
    </w:p>
    <w:p w14:paraId="7F757443" w14:textId="77777777" w:rsidR="0020548B" w:rsidRPr="00EC14DE" w:rsidRDefault="0020548B" w:rsidP="007C594F">
      <w:pPr>
        <w:widowControl w:val="0"/>
        <w:rPr>
          <w:rFonts w:cs="Times New Roman"/>
        </w:rPr>
      </w:pPr>
      <w:r w:rsidRPr="00EC14DE">
        <w:rPr>
          <w:rFonts w:cs="Times New Roman"/>
        </w:rPr>
        <w:t xml:space="preserve">b) all’articolo 16, concernente detrazioni fiscali per interventi di ristrutturazione edilizia: </w:t>
      </w:r>
    </w:p>
    <w:p w14:paraId="57FA19B6" w14:textId="77777777" w:rsidR="0020548B" w:rsidRPr="00EC14DE" w:rsidRDefault="0020548B" w:rsidP="007C594F">
      <w:pPr>
        <w:widowControl w:val="0"/>
        <w:ind w:left="708"/>
        <w:rPr>
          <w:rFonts w:cs="Times New Roman"/>
        </w:rPr>
      </w:pPr>
      <w:r w:rsidRPr="00EC14DE">
        <w:rPr>
          <w:rFonts w:cs="Times New Roman"/>
        </w:rPr>
        <w:t xml:space="preserve">1) ai commi 1, 1-bis e 1-ter, le parole: “31 dicembre 2021” sono sostituite dalle seguenti: “31 dicembre 2024”; </w:t>
      </w:r>
    </w:p>
    <w:p w14:paraId="30B94032" w14:textId="77777777" w:rsidR="0020548B" w:rsidRPr="00EC14DE" w:rsidRDefault="0020548B" w:rsidP="007C594F">
      <w:pPr>
        <w:widowControl w:val="0"/>
        <w:ind w:left="708"/>
        <w:rPr>
          <w:rFonts w:cs="Times New Roman"/>
        </w:rPr>
      </w:pPr>
      <w:r w:rsidRPr="00EC14DE">
        <w:rPr>
          <w:rFonts w:cs="Times New Roman"/>
        </w:rPr>
        <w:t xml:space="preserve">2) il comma 2 è sostituito dal seguente: “2. Ai contribuenti che fruiscono della detrazione di cui al comma 1 è altresì riconosciuta una detrazione dall'imposta lorda, fino a concorrenza del suo ammontare, per le ulteriori spese documentate sostenute negli anni 2022, 2023 e 2024 per l'acquisto di mobili e di grandi elettrodomestici di classe non inferiore alla classe A per i forni, E per le lavatrici, le lavasciugatrici e le lavastoviglie,  F per i frigoriferi e i congelatori, per le apparecchiature per le quali sia prevista l'etichetta energetica, finalizzati all'arredo dell'immobile oggetto di ristrutturazione. La detrazione di cui al presente comma, da ripartire tra gli aventi diritto in dieci quote annuali di pari importo, spetta nella misura del 50 per cento delle spese sostenute ed è calcolata su un ammontare complessivo non superiore a 5.000 euro. La detrazione spetta a condizione che gli interventi di recupero del patrimonio edilizio siano iniziati a partire dal 1° gennaio dell’anno precedente a quello dell’acquisto. Qualora gli interventi di recupero del patrimonio edilizio siano effettuati nell’anno precedente a quello dell’acquisto, ovvero siano iniziati nell’anno precedente a quello dell’acquisto e proseguiti in detto anno, il limite di 5.000 euro è considerato al netto delle spese sostenute nell’anno precedente per le quali si è fruito della detrazione. Ai fini dell’utilizzo della detrazione dall'imposta, le spese di cui al presente comma sono computate indipendentemente dall'importo delle spese sostenute per i lavori di ristrutturazione che fruiscono delle detrazioni di cui al comma 1.”. </w:t>
      </w:r>
    </w:p>
    <w:p w14:paraId="4DE09947" w14:textId="77777777" w:rsidR="0020548B" w:rsidRPr="00EC14DE" w:rsidRDefault="0020548B" w:rsidP="007C594F">
      <w:pPr>
        <w:widowControl w:val="0"/>
        <w:ind w:firstLine="1"/>
        <w:rPr>
          <w:rFonts w:cs="Times New Roman"/>
        </w:rPr>
      </w:pPr>
      <w:r w:rsidRPr="00EC14DE">
        <w:rPr>
          <w:rFonts w:cs="Times New Roman"/>
        </w:rPr>
        <w:t xml:space="preserve">4. All'articolo 1, comma 12, della legge 27 dicembre 2017, n. 205, le parole “Per l'anno 2021” sono sostituite dalle seguenti: “Per gli anni 2021, 2022, 2023 e 2024”. </w:t>
      </w:r>
    </w:p>
    <w:p w14:paraId="3C650DD6" w14:textId="77777777" w:rsidR="0020548B" w:rsidRPr="00EC14DE" w:rsidRDefault="0020548B" w:rsidP="007C594F">
      <w:pPr>
        <w:pStyle w:val="NormaleWeb"/>
        <w:widowControl w:val="0"/>
        <w:spacing w:before="0" w:beforeAutospacing="0" w:after="0" w:afterAutospacing="0"/>
        <w:jc w:val="both"/>
        <w:rPr>
          <w:sz w:val="22"/>
          <w:szCs w:val="22"/>
        </w:rPr>
      </w:pPr>
      <w:r w:rsidRPr="00EC14DE">
        <w:t xml:space="preserve">5. </w:t>
      </w:r>
      <w:r w:rsidRPr="00EC14DE">
        <w:rPr>
          <w:sz w:val="22"/>
          <w:szCs w:val="22"/>
        </w:rPr>
        <w:t xml:space="preserve">All’articolo 1, comma 219, della legge 27 dicembre 2019, n. 160, le parole </w:t>
      </w:r>
      <w:r w:rsidRPr="00EC14DE">
        <w:rPr>
          <w:i/>
          <w:iCs/>
          <w:sz w:val="22"/>
          <w:szCs w:val="22"/>
        </w:rPr>
        <w:t>“negli anni 2020 e 2021”</w:t>
      </w:r>
      <w:r w:rsidRPr="00EC14DE">
        <w:rPr>
          <w:sz w:val="22"/>
          <w:szCs w:val="22"/>
        </w:rPr>
        <w:t xml:space="preserve"> sono sostituite dalle seguenti: “</w:t>
      </w:r>
      <w:r w:rsidRPr="00EC14DE">
        <w:rPr>
          <w:i/>
          <w:iCs/>
          <w:sz w:val="22"/>
          <w:szCs w:val="22"/>
        </w:rPr>
        <w:t xml:space="preserve">nell’anno 2022” </w:t>
      </w:r>
      <w:r w:rsidRPr="00EC14DE">
        <w:rPr>
          <w:sz w:val="22"/>
          <w:szCs w:val="22"/>
        </w:rPr>
        <w:t>e le parole</w:t>
      </w:r>
      <w:r w:rsidRPr="00EC14DE">
        <w:rPr>
          <w:i/>
          <w:iCs/>
          <w:sz w:val="22"/>
          <w:szCs w:val="22"/>
        </w:rPr>
        <w:t xml:space="preserve"> “90 per cento” </w:t>
      </w:r>
      <w:r w:rsidRPr="00EC14DE">
        <w:rPr>
          <w:sz w:val="22"/>
          <w:szCs w:val="22"/>
        </w:rPr>
        <w:t>sono sostituite dalle seguenti:</w:t>
      </w:r>
      <w:r w:rsidRPr="00EC14DE">
        <w:rPr>
          <w:i/>
          <w:iCs/>
          <w:sz w:val="22"/>
          <w:szCs w:val="22"/>
        </w:rPr>
        <w:t xml:space="preserve"> “60 per cento</w:t>
      </w:r>
      <w:r w:rsidRPr="00EC14DE">
        <w:rPr>
          <w:sz w:val="22"/>
          <w:szCs w:val="22"/>
        </w:rPr>
        <w:t>”.</w:t>
      </w:r>
    </w:p>
    <w:p w14:paraId="0BD0AACE" w14:textId="77777777" w:rsidR="00D54DEA" w:rsidRPr="00EC14DE" w:rsidRDefault="00634A34" w:rsidP="007C594F">
      <w:pPr>
        <w:pStyle w:val="Titolo3"/>
        <w:keepNext w:val="0"/>
        <w:keepLines w:val="0"/>
        <w:widowControl w:val="0"/>
        <w:rPr>
          <w:rFonts w:cs="Times New Roman"/>
          <w:b w:val="0"/>
        </w:rPr>
      </w:pPr>
      <w:r w:rsidRPr="00EC14DE">
        <w:t xml:space="preserve">ART. </w:t>
      </w:r>
      <w:r w:rsidRPr="00EC14DE">
        <w:fldChar w:fldCharType="begin"/>
      </w:r>
      <w:r w:rsidRPr="00EC14DE">
        <w:instrText xml:space="preserve"> AUTONUM  \* Arabic </w:instrText>
      </w:r>
      <w:r w:rsidRPr="00EC14DE">
        <w:fldChar w:fldCharType="end"/>
      </w:r>
      <w:r w:rsidRPr="00EC14DE">
        <w:br/>
      </w:r>
      <w:r w:rsidR="00B33DCE" w:rsidRPr="00EC14DE">
        <w:t>(P</w:t>
      </w:r>
      <w:r w:rsidR="00B33DCE" w:rsidRPr="00EC14DE">
        <w:rPr>
          <w:iCs/>
        </w:rPr>
        <w:t>roroga del credito d’imposta per investimenti in beni strumentali «</w:t>
      </w:r>
      <w:r w:rsidRPr="00EC14DE">
        <w:rPr>
          <w:iCs/>
        </w:rPr>
        <w:t>Transizione</w:t>
      </w:r>
      <w:r w:rsidR="00B33DCE" w:rsidRPr="00EC14DE">
        <w:rPr>
          <w:iCs/>
        </w:rPr>
        <w:t xml:space="preserve"> 4.0» e del credito d’imposta per investimenti in ricerca e sviluppo, in transizione ecologica, in innovazione tecnologica 4.0 e in altre attività innovative)</w:t>
      </w:r>
      <w:r w:rsidR="00E10E0B" w:rsidRPr="00EC14DE">
        <w:rPr>
          <w:iCs/>
        </w:rPr>
        <w:t xml:space="preserve"> </w:t>
      </w:r>
    </w:p>
    <w:p w14:paraId="5F354F11" w14:textId="77777777" w:rsidR="00D54DEA" w:rsidRPr="00EC14DE" w:rsidRDefault="00D54DEA" w:rsidP="007C594F">
      <w:pPr>
        <w:widowControl w:val="0"/>
        <w:rPr>
          <w:rFonts w:eastAsia="Calibri" w:cs="Times New Roman"/>
        </w:rPr>
      </w:pPr>
      <w:r w:rsidRPr="00EC14DE">
        <w:rPr>
          <w:rFonts w:eastAsia="Calibri" w:cs="Times New Roman"/>
        </w:rPr>
        <w:t>1. All’articolo 1 della legge 30 dicembre 2020, n. 178, sono apportate le seguenti modificazioni:</w:t>
      </w:r>
    </w:p>
    <w:p w14:paraId="1B271BCA" w14:textId="77777777" w:rsidR="00D54DEA" w:rsidRPr="00EC14DE" w:rsidRDefault="00D54DEA" w:rsidP="007C594F">
      <w:pPr>
        <w:widowControl w:val="0"/>
        <w:rPr>
          <w:rFonts w:eastAsia="Calibri" w:cs="Times New Roman"/>
        </w:rPr>
      </w:pPr>
      <w:r w:rsidRPr="00EC14DE">
        <w:rPr>
          <w:rFonts w:eastAsia="Calibri" w:cs="Times New Roman"/>
        </w:rPr>
        <w:t>a) al comma 1051 le parole “e fino al 31 dicembre 2022, ovvero entro il 30 giugno 2023, a condizione che entro la data del 31 dicembre 2022 il relativo ordine risulti accettato dal venditore e sia avvenuto il pagamento di acconti in misura almeno pari al 20 per cento del costo di acquisizione,” sono soppresse e le parole “commi da 1052 a 1058” sono sostituite dalle seguenti: “commi da 1052 a 1058-ter”;</w:t>
      </w:r>
    </w:p>
    <w:p w14:paraId="4661DB57" w14:textId="77777777" w:rsidR="00D54DEA" w:rsidRPr="00EC14DE" w:rsidRDefault="00D54DEA" w:rsidP="007C594F">
      <w:pPr>
        <w:widowControl w:val="0"/>
        <w:rPr>
          <w:rFonts w:eastAsia="Calibri" w:cs="Times New Roman"/>
        </w:rPr>
      </w:pPr>
      <w:r w:rsidRPr="00EC14DE">
        <w:rPr>
          <w:rFonts w:eastAsia="Calibri" w:cs="Times New Roman"/>
        </w:rPr>
        <w:t>b) dopo il comma 1057 è inserito il seguente:</w:t>
      </w:r>
    </w:p>
    <w:p w14:paraId="332872F8" w14:textId="77777777" w:rsidR="00D54DEA" w:rsidRPr="00EC14DE" w:rsidRDefault="00D54DEA" w:rsidP="007C594F">
      <w:pPr>
        <w:widowControl w:val="0"/>
        <w:rPr>
          <w:rFonts w:eastAsia="Calibri" w:cs="Times New Roman"/>
        </w:rPr>
      </w:pPr>
      <w:r w:rsidRPr="00EC14DE">
        <w:rPr>
          <w:rFonts w:eastAsia="Calibri" w:cs="Times New Roman"/>
        </w:rPr>
        <w:t>“1057-</w:t>
      </w:r>
      <w:r w:rsidRPr="00EC14DE">
        <w:rPr>
          <w:rFonts w:eastAsia="Calibri" w:cs="Times New Roman"/>
          <w:i/>
        </w:rPr>
        <w:t>bis</w:t>
      </w:r>
      <w:r w:rsidRPr="00EC14DE">
        <w:rPr>
          <w:rFonts w:eastAsia="Calibri" w:cs="Times New Roman"/>
        </w:rPr>
        <w:t>.  Alle imprese che effettuano investimenti in beni strumentali nuovi indicati nell'allegato A annesso alla legge 11 dicembre 2016, n. 232, a decorrere dal 1° gennaio 2023 e fino al 31 dicembre 2025, ovvero entro il 30 giugno 2026, a condizione che entro la data del 31 dicembre 2025 il relativo ordine risulti accettato dal venditore e sia avvenuto il pagamento di acconti in misura almeno pari al 20 per cento del costo di acquisizione, il credito d'imposta è riconosciuto nella misura del 20 per cento del costo, per la quota di investimenti fino a 2,5 milioni di euro, nella misura del  10 per cento del costo, per la quota di investimenti superiori a 2,5 milioni di euro e fino a 10 milioni di euro, e nella misura del  5 per cento del costo, per la quota di investimenti superiori a 10 milioni di euro e fino al limite massimo di costi complessivamente ammissibili pari a 20 milioni di euro”.</w:t>
      </w:r>
    </w:p>
    <w:p w14:paraId="31CF702F" w14:textId="77777777" w:rsidR="00D54DEA" w:rsidRPr="00EC14DE" w:rsidRDefault="00D54DEA" w:rsidP="007C594F">
      <w:pPr>
        <w:widowControl w:val="0"/>
        <w:rPr>
          <w:rFonts w:eastAsia="Calibri" w:cs="Times New Roman"/>
        </w:rPr>
      </w:pPr>
      <w:r w:rsidRPr="00EC14DE">
        <w:rPr>
          <w:rFonts w:eastAsia="Calibri" w:cs="Times New Roman"/>
        </w:rPr>
        <w:t>c) il comma 1058 è sostituito dal seguente:</w:t>
      </w:r>
    </w:p>
    <w:p w14:paraId="7E0F779D" w14:textId="77777777" w:rsidR="00D54DEA" w:rsidRPr="00EC14DE" w:rsidRDefault="00D54DEA" w:rsidP="007C594F">
      <w:pPr>
        <w:widowControl w:val="0"/>
        <w:rPr>
          <w:rFonts w:eastAsia="Calibri" w:cs="Times New Roman"/>
        </w:rPr>
      </w:pPr>
      <w:r w:rsidRPr="00EC14DE">
        <w:rPr>
          <w:rFonts w:eastAsia="Calibri" w:cs="Times New Roman"/>
        </w:rPr>
        <w:t xml:space="preserve">“1058. Alle imprese che effettuano investimenti aventi ad oggetto beni compresi nell'allegato B annesso alla legge 11 dicembre 2016, n. 232, a decorrere dal 16 novembre 2020 e fino al 31 dicembre 2023, ovvero entro il 30 giugno 2024, a condizione che entro la data del 31 dicembre 2023 il relativo ordine risulti accettato dal venditore e sia avvenuto il pagamento di acconti in misura almeno pari al 20 per cento del costo di acquisizione, il credito d'imposta è riconosciuto nella misura del 20 per cento del costo, nel limite massimo annuale di costi ammissibili pari a 1 milione di euro. Si considerano agevolabili anche le spese per servizi sostenute in relazione all'utilizzo dei beni di cui al predetto allegato B mediante soluzioni di </w:t>
      </w:r>
      <w:r w:rsidRPr="00EC14DE">
        <w:rPr>
          <w:rFonts w:eastAsia="Calibri" w:cs="Times New Roman"/>
          <w:i/>
        </w:rPr>
        <w:t>cloud computing</w:t>
      </w:r>
      <w:r w:rsidRPr="00EC14DE">
        <w:rPr>
          <w:rFonts w:eastAsia="Calibri" w:cs="Times New Roman"/>
        </w:rPr>
        <w:t>, per la quota imputabile per competenza”.</w:t>
      </w:r>
    </w:p>
    <w:p w14:paraId="326CB93F" w14:textId="77777777" w:rsidR="00D54DEA" w:rsidRPr="00EC14DE" w:rsidRDefault="00D54DEA" w:rsidP="007C594F">
      <w:pPr>
        <w:widowControl w:val="0"/>
        <w:rPr>
          <w:rFonts w:eastAsia="Calibri" w:cs="Times New Roman"/>
        </w:rPr>
      </w:pPr>
      <w:r w:rsidRPr="00EC14DE">
        <w:rPr>
          <w:rFonts w:eastAsia="Calibri" w:cs="Times New Roman"/>
        </w:rPr>
        <w:t>d) dopo il comma 1058 sono inseriti i seguenti:</w:t>
      </w:r>
    </w:p>
    <w:p w14:paraId="100B7F6E" w14:textId="77777777" w:rsidR="00D54DEA" w:rsidRPr="00EC14DE" w:rsidRDefault="00D54DEA" w:rsidP="007C594F">
      <w:pPr>
        <w:widowControl w:val="0"/>
        <w:rPr>
          <w:rFonts w:eastAsia="Calibri" w:cs="Times New Roman"/>
        </w:rPr>
      </w:pPr>
      <w:r w:rsidRPr="00EC14DE">
        <w:rPr>
          <w:rFonts w:eastAsia="Calibri" w:cs="Times New Roman"/>
        </w:rPr>
        <w:t>“1058-</w:t>
      </w:r>
      <w:r w:rsidRPr="00EC14DE">
        <w:rPr>
          <w:rFonts w:eastAsia="Calibri" w:cs="Times New Roman"/>
          <w:i/>
        </w:rPr>
        <w:t>bis</w:t>
      </w:r>
      <w:r w:rsidRPr="00EC14DE">
        <w:rPr>
          <w:rFonts w:eastAsia="Calibri" w:cs="Times New Roman"/>
        </w:rPr>
        <w:t>. Alle imprese che effettuano investimenti aventi ad oggetto beni compresi nell'allegato B annesso alla legge 11 dicembre 2016, n. 232, a decorrere dal 1° gennaio 2024 e fino al 31 dicembre 2024, ovvero entro il 30 giugno 2025, a condizione che entro la data del 31 dicembre 2024 il relativo ordine risulti accettato dal venditore e sia avvenuto il pagamento di acconti in misura almeno pari al 20 per cento del costo di acquisizione, il credito d'imposta è riconosciuto nella misura del 15 per cento del costo, nel limite massimo di costi ammissibili pari a 1 milione di euro. Si considerano agevolabili anche le spese per servizi sostenute in relazione all'utilizzo dei beni di cui al predetto allegato B mediante soluzioni di cloud computing, per la quota imputabile per competenza.</w:t>
      </w:r>
    </w:p>
    <w:p w14:paraId="242454C3" w14:textId="77777777" w:rsidR="00D54DEA" w:rsidRPr="00EC14DE" w:rsidRDefault="00D54DEA" w:rsidP="007C594F">
      <w:pPr>
        <w:widowControl w:val="0"/>
        <w:rPr>
          <w:rFonts w:eastAsia="Calibri" w:cs="Times New Roman"/>
        </w:rPr>
      </w:pPr>
      <w:r w:rsidRPr="00EC14DE">
        <w:rPr>
          <w:rFonts w:eastAsia="Calibri" w:cs="Times New Roman"/>
        </w:rPr>
        <w:t>“1058-</w:t>
      </w:r>
      <w:r w:rsidRPr="00EC14DE">
        <w:rPr>
          <w:rFonts w:eastAsia="Calibri" w:cs="Times New Roman"/>
          <w:i/>
        </w:rPr>
        <w:t>ter</w:t>
      </w:r>
      <w:r w:rsidRPr="00EC14DE">
        <w:rPr>
          <w:rFonts w:eastAsia="Calibri" w:cs="Times New Roman"/>
        </w:rPr>
        <w:t>. Alle imprese che effettuano investimenti aventi ad oggetto beni compresi nell'allegato B annesso alla legge 11 dicembre 2016, n. 232, a decorrere dal 1° gennaio 2025 e fino al 31 dicembre 2025, ovvero entro il 30 giugno 2026, a condizione che entro la data del 31 dicembre 2025 il relativo ordine risulti accettato dal venditore e sia avvenuto il pagamento di acconti in misura almeno pari al 20 per cento del costo di acquisizione, il credito d'imposta è riconosciuto nella misura del 10 per cento del costo, nel limite massimo di costi ammissibili pari a 1 milione di euro. Si considerano agevolabili anche le spese per servizi sostenute in relazione all'utilizzo dei beni di cui al predetto allegato B mediante soluzioni di cloud computing, per la quota imputabile per competenza.”</w:t>
      </w:r>
    </w:p>
    <w:p w14:paraId="20D4805A" w14:textId="77777777" w:rsidR="00D54DEA" w:rsidRPr="00EC14DE" w:rsidRDefault="00D54DEA" w:rsidP="007C594F">
      <w:pPr>
        <w:widowControl w:val="0"/>
        <w:rPr>
          <w:rFonts w:eastAsia="Calibri" w:cs="Times New Roman"/>
        </w:rPr>
      </w:pPr>
      <w:r w:rsidRPr="00EC14DE">
        <w:rPr>
          <w:rFonts w:eastAsia="Calibri" w:cs="Times New Roman"/>
        </w:rPr>
        <w:t>e) al comma 1059 le parole “commi 1056, 1057 e 1058” sono sostituite, ovunque ricorrano, dalle seguenti: “commi da 1056 a 1058-ter”;</w:t>
      </w:r>
    </w:p>
    <w:p w14:paraId="134CC96D" w14:textId="77777777" w:rsidR="00D54DEA" w:rsidRPr="00EC14DE" w:rsidRDefault="00D54DEA" w:rsidP="007C594F">
      <w:pPr>
        <w:widowControl w:val="0"/>
        <w:rPr>
          <w:rFonts w:eastAsia="Calibri" w:cs="Times New Roman"/>
        </w:rPr>
      </w:pPr>
      <w:r w:rsidRPr="00EC14DE">
        <w:rPr>
          <w:rFonts w:eastAsia="Calibri" w:cs="Times New Roman"/>
        </w:rPr>
        <w:t>f) al comma 1062 le parole “commi da 1054 a 1058” sono sostituite dalle seguenti: “commi da 1054 a 1058-ter”, le parole “commi 1056, 1057 e 1058” sono sostituite dalle seguenti: “commi da 1056 a 1058-ter” e le parole “commi da 1056 a 1058” sono sostituite dalle seguenti: “commi da 1056 a 1058-ter”;</w:t>
      </w:r>
    </w:p>
    <w:p w14:paraId="03D80E14" w14:textId="77777777" w:rsidR="00D54DEA" w:rsidRPr="00EC14DE" w:rsidRDefault="00D54DEA" w:rsidP="007C594F">
      <w:pPr>
        <w:widowControl w:val="0"/>
        <w:rPr>
          <w:rFonts w:eastAsia="Calibri" w:cs="Times New Roman"/>
          <w:b/>
        </w:rPr>
      </w:pPr>
      <w:r w:rsidRPr="00EC14DE">
        <w:rPr>
          <w:rFonts w:eastAsia="Calibri" w:cs="Times New Roman"/>
        </w:rPr>
        <w:t xml:space="preserve">g) al comma 1063 le parole “commi da 1054 a 1058” sono sostituite, ovunque ricorrano, dalle seguenti: “commi da 1054 a 1058-ter”. </w:t>
      </w:r>
    </w:p>
    <w:p w14:paraId="12A0C094" w14:textId="77777777" w:rsidR="00D54DEA" w:rsidRPr="00EC14DE" w:rsidRDefault="00D54DEA" w:rsidP="007C594F">
      <w:pPr>
        <w:widowControl w:val="0"/>
        <w:rPr>
          <w:rFonts w:eastAsia="Calibri" w:cs="Times New Roman"/>
        </w:rPr>
      </w:pPr>
      <w:r w:rsidRPr="00EC14DE">
        <w:rPr>
          <w:rFonts w:eastAsia="Calibri" w:cs="Times New Roman"/>
        </w:rPr>
        <w:t>2. All’articolo 1 della legge 27 dicembre 2019, n. 160, sono apportate le seguenti modificazioni:</w:t>
      </w:r>
    </w:p>
    <w:p w14:paraId="3C08A0CB" w14:textId="77777777" w:rsidR="00D54DEA" w:rsidRPr="00EC14DE" w:rsidRDefault="00D54DEA" w:rsidP="007C594F">
      <w:pPr>
        <w:widowControl w:val="0"/>
        <w:rPr>
          <w:rFonts w:eastAsia="Calibri" w:cs="Times New Roman"/>
        </w:rPr>
      </w:pPr>
      <w:r w:rsidRPr="00EC14DE">
        <w:rPr>
          <w:rFonts w:eastAsia="Calibri" w:cs="Times New Roman"/>
        </w:rPr>
        <w:t>a) il comma 198 è sostituito dal seguente:</w:t>
      </w:r>
    </w:p>
    <w:p w14:paraId="320D59F9" w14:textId="77777777" w:rsidR="00D54DEA" w:rsidRPr="00EC14DE" w:rsidRDefault="00D54DEA" w:rsidP="007C594F">
      <w:pPr>
        <w:widowControl w:val="0"/>
        <w:rPr>
          <w:rFonts w:eastAsia="Calibri" w:cs="Times New Roman"/>
        </w:rPr>
      </w:pPr>
      <w:r w:rsidRPr="00EC14DE">
        <w:rPr>
          <w:rFonts w:eastAsia="Calibri" w:cs="Times New Roman"/>
        </w:rPr>
        <w:t>“198. Per gli investimenti in ricerca e sviluppo, in transizione ecologica, in innovazione tecnologica 4.0 e in altre attività innovative è riconosciuto un credito d'imposta alle condizioni e nelle misure di cui ai commi da 199 a 206.”;</w:t>
      </w:r>
    </w:p>
    <w:p w14:paraId="45417136" w14:textId="77777777" w:rsidR="00D54DEA" w:rsidRPr="00EC14DE" w:rsidRDefault="00D54DEA" w:rsidP="007C594F">
      <w:pPr>
        <w:widowControl w:val="0"/>
        <w:rPr>
          <w:rFonts w:eastAsia="Calibri" w:cs="Times New Roman"/>
        </w:rPr>
      </w:pPr>
      <w:r w:rsidRPr="00EC14DE">
        <w:rPr>
          <w:rFonts w:eastAsia="Calibri" w:cs="Times New Roman"/>
        </w:rPr>
        <w:t xml:space="preserve">b) il comma 203 è sostituito dal seguente: </w:t>
      </w:r>
    </w:p>
    <w:p w14:paraId="7AA0F097" w14:textId="77777777" w:rsidR="00D54DEA" w:rsidRPr="00EC14DE" w:rsidRDefault="00D54DEA" w:rsidP="007C594F">
      <w:pPr>
        <w:widowControl w:val="0"/>
        <w:rPr>
          <w:rFonts w:eastAsia="Calibri" w:cs="Times New Roman"/>
        </w:rPr>
      </w:pPr>
      <w:r w:rsidRPr="00EC14DE">
        <w:rPr>
          <w:rFonts w:eastAsia="Calibri" w:cs="Times New Roman"/>
        </w:rPr>
        <w:t>“203. Per le attività di ricerca e sviluppo previste dal comma 200, il credito d'imposta è riconosciuto, fino al periodo d’imposta in corso al 31 dicembre 2022, in misura pari al 20 per cento della relativa base di calcolo, assunta al netto delle altre sovvenzioni o dei contributi a qualunque titolo ricevuti per le stesse spese ammissibili, nel limite massimo annuale di 4 milioni di euro, ragguagliato ad anno in caso di periodo d'imposta di durata inferiore o superiore a dodici mesi. Per le attività di innovazione tecnologica previste dal comma 201, il credito d'imposta è riconosciuto, fino al periodo d’imposta in corso al 31 dicembre 2023, in misura pari al 10 per cento della relativa base di calcolo, assunta al netto delle altre sovvenzioni o dei contributi a qualunque titolo ricevuti sulle stesse spese ammissibili, nel limite massimo annuale di 2 milioni di euro, ragguagliato ad anno in caso di periodo d'imposta di durata inferiore o superiore a dodici mesi. Per le attività di design e ideazione estetica previste dal comma 202, il credito d'imposta è riconosciuto, fino al periodo d’imposta in corso al 31 dicembre</w:t>
      </w:r>
      <w:r w:rsidRPr="00EC14DE">
        <w:rPr>
          <w:rFonts w:eastAsia="Calibri" w:cs="Times New Roman"/>
          <w:b/>
        </w:rPr>
        <w:t xml:space="preserve"> </w:t>
      </w:r>
      <w:r w:rsidRPr="00EC14DE">
        <w:rPr>
          <w:rFonts w:eastAsia="Calibri" w:cs="Times New Roman"/>
        </w:rPr>
        <w:t>2023, in misura pari al 10 per cento della relativa base di calcolo, assunta al netto delle altre sovvenzioni o dei contributi a qualunque titolo ricevuti sulle stesse spese ammissibili, nel limite massimo annuale di 2 milioni di euro, ragguagliato ad anno in caso di periodo d'imposta di durata inferiore o superiore a dodici mesi. Per le attività di innovazione tecnologica previste dal comma 201 finalizzate alla realizzazione di prodotti o processi di produzione nuovi o sostanzialmente migliorati per il raggiungimento di un obiettivo di transizione ecologica o di innovazione digitale 4.0, individuati con il decreto del Ministro dello sviluppo economico previsto dal comma 200, il credito d'imposta è riconosciuto, fino al periodo d’imposta in corso al 31 dicembre 2022, in misura pari al 15 per cento della relativa base di calcolo, assunta al netto delle altre sovvenzioni o dei contributi a qualunque titolo ricevuti sulle stesse spese ammissibili, nel limite massimo annuale di 2 milioni di euro, ragguagliato ad anno in caso di periodo d'imposta di durata inferiore o superiore a dodici mesi. Nel rispetto dei massimali indicati e a condizione della separazione analitica dei progetti e delle spese ammissibili pertinenti alle diverse tipologie di attività, è possibile applicare il beneficio anche per più attività ammissibili nello stesso periodo d'imposta”.</w:t>
      </w:r>
    </w:p>
    <w:p w14:paraId="0B3AD81B" w14:textId="77777777" w:rsidR="00D54DEA" w:rsidRPr="00EC14DE" w:rsidRDefault="00D54DEA" w:rsidP="007C594F">
      <w:pPr>
        <w:widowControl w:val="0"/>
        <w:rPr>
          <w:rFonts w:eastAsia="Calibri" w:cs="Times New Roman"/>
        </w:rPr>
      </w:pPr>
      <w:r w:rsidRPr="00EC14DE">
        <w:rPr>
          <w:rFonts w:eastAsia="Calibri" w:cs="Times New Roman"/>
        </w:rPr>
        <w:t>c) dopo il comma 203 sono inseriti i seguenti: “203-</w:t>
      </w:r>
      <w:r w:rsidRPr="00EC14DE">
        <w:rPr>
          <w:rFonts w:eastAsia="Calibri" w:cs="Times New Roman"/>
          <w:i/>
        </w:rPr>
        <w:t>bis</w:t>
      </w:r>
      <w:r w:rsidRPr="00EC14DE">
        <w:rPr>
          <w:rFonts w:eastAsia="Calibri" w:cs="Times New Roman"/>
        </w:rPr>
        <w:t>. Per le attività di ricerca e sviluppo previste dal comma 200, il credito d'imposta è riconosciuto, dal periodo d’imposta successivo a quello in corso al 31 dicembre 2022 e fino a quello in corso al 31 dicembre 2031, in misura pari al 10 per cento, della relativa base di calcolo, assunta al netto delle altre sovvenzioni o dei contributi a qualunque titolo ricevuti per le stesse spese ammissibili, nel limite massimo annuale di 5 milioni di euro, ragguagliato ad anno in caso di periodo d'imposta di durata inferiore o superiore a dodici mesi.”;</w:t>
      </w:r>
    </w:p>
    <w:p w14:paraId="6B813209" w14:textId="77777777" w:rsidR="00D54DEA" w:rsidRPr="00EC14DE" w:rsidRDefault="00D54DEA" w:rsidP="007C594F">
      <w:pPr>
        <w:widowControl w:val="0"/>
        <w:rPr>
          <w:rFonts w:eastAsia="Calibri" w:cs="Times New Roman"/>
        </w:rPr>
      </w:pPr>
      <w:r w:rsidRPr="00EC14DE">
        <w:rPr>
          <w:rFonts w:eastAsia="Calibri" w:cs="Times New Roman"/>
        </w:rPr>
        <w:t>“203-</w:t>
      </w:r>
      <w:r w:rsidRPr="00EC14DE">
        <w:rPr>
          <w:rFonts w:eastAsia="Calibri" w:cs="Times New Roman"/>
          <w:i/>
        </w:rPr>
        <w:t>ter.</w:t>
      </w:r>
      <w:r w:rsidRPr="00EC14DE">
        <w:rPr>
          <w:rFonts w:eastAsia="Calibri" w:cs="Times New Roman"/>
        </w:rPr>
        <w:t xml:space="preserve"> Per le attività di innovazione tecnologica previste dal comma 201, il credito d'imposta è riconosciuto, dal periodo d’imposta successivo a quello in corso al 31 dicembre 2023 e fino al periodo d’imposta in corso al 31 dicembre 2025, in misura pari al 5 per cento della relativa base di calcolo, assunta al netto delle altre sovvenzioni o dei contributi a qualunque titolo ricevuti sulle stesse spese ammissibili, nel limite massimo annuale di 2 milioni di euro, ragguagliato ad anno in caso di periodo d'imposta di durata inferiore o superiore a dodici mesi.”</w:t>
      </w:r>
    </w:p>
    <w:p w14:paraId="5669863E" w14:textId="77777777" w:rsidR="00D54DEA" w:rsidRPr="00EC14DE" w:rsidRDefault="00D54DEA" w:rsidP="007C594F">
      <w:pPr>
        <w:widowControl w:val="0"/>
        <w:rPr>
          <w:rFonts w:eastAsia="Calibri" w:cs="Times New Roman"/>
        </w:rPr>
      </w:pPr>
      <w:r w:rsidRPr="00EC14DE">
        <w:rPr>
          <w:rFonts w:eastAsia="Calibri" w:cs="Times New Roman"/>
        </w:rPr>
        <w:t>“203-</w:t>
      </w:r>
      <w:r w:rsidRPr="00EC14DE">
        <w:rPr>
          <w:rFonts w:eastAsia="Calibri" w:cs="Times New Roman"/>
          <w:i/>
        </w:rPr>
        <w:t>quater.</w:t>
      </w:r>
      <w:r w:rsidRPr="00EC14DE">
        <w:rPr>
          <w:rFonts w:eastAsia="Calibri" w:cs="Times New Roman"/>
        </w:rPr>
        <w:t xml:space="preserve"> Per le attività di design e ideazione estetica previste dal comma 202, il credito d'imposta è riconosciuto, dal periodo d’imposta successivo a quello in corso al 31 dicembre 2023 e fino al periodo d’imposta in corso al 31 dicembre 2025, in misura pari al 5 per cento della relativa base di calcolo, assunta al netto delle altre sovvenzioni o dei contributi a qualunque titolo ricevuti sulle stesse spese ammissibili, nel limite massimo annuale di 2 milioni di euro, ragguagliato ad anno in caso di periodo d'imposta di durata inferiore o superiore a dodici mesi”.;</w:t>
      </w:r>
    </w:p>
    <w:p w14:paraId="294FE5D8" w14:textId="77777777" w:rsidR="00D54DEA" w:rsidRPr="00EC14DE" w:rsidRDefault="00D54DEA" w:rsidP="007C594F">
      <w:pPr>
        <w:widowControl w:val="0"/>
        <w:rPr>
          <w:rFonts w:eastAsia="Calibri" w:cs="Times New Roman"/>
        </w:rPr>
      </w:pPr>
      <w:r w:rsidRPr="00EC14DE">
        <w:rPr>
          <w:rFonts w:eastAsia="Calibri" w:cs="Times New Roman"/>
        </w:rPr>
        <w:t>203-</w:t>
      </w:r>
      <w:r w:rsidRPr="00EC14DE">
        <w:rPr>
          <w:rFonts w:eastAsia="Calibri" w:cs="Times New Roman"/>
          <w:i/>
        </w:rPr>
        <w:t>quinquies.</w:t>
      </w:r>
      <w:r w:rsidRPr="00EC14DE">
        <w:rPr>
          <w:rFonts w:eastAsia="Calibri" w:cs="Times New Roman"/>
        </w:rPr>
        <w:t xml:space="preserve"> Per le attività di innovazione tecnologica previste dal comma 201 finalizzate alla realizzazione di prodotti o processi di produzione nuovi o sostanzialmente migliorati per il raggiungimento di un obiettivo di transizione ecologica o di innovazione digitale 4.0, individuati con il decreto del Ministro dello sviluppo economico previsto dal comma 200, il credito d'imposta è riconosciuto, per il periodo d’imposta successivo a quello in corso al 31 dicembre 2022, in misura pari al 10 per cento della relativa base di calcolo, assunta al netto delle altre sovvenzioni o dei contributi a qualunque titolo ricevuti sulle stesse spese ammissibili, nel limite massimo annuale di 4</w:t>
      </w:r>
      <w:r w:rsidR="00451ED4" w:rsidRPr="00EC14DE">
        <w:rPr>
          <w:rFonts w:eastAsia="Calibri" w:cs="Times New Roman"/>
        </w:rPr>
        <w:t xml:space="preserve"> </w:t>
      </w:r>
      <w:r w:rsidRPr="00EC14DE">
        <w:rPr>
          <w:rFonts w:eastAsia="Calibri" w:cs="Times New Roman"/>
        </w:rPr>
        <w:t>milioni di euro, ragguagliato ad anno in caso di periodo d'imposta di durata inferiore o superiore a dodici mesi. Nel rispetto dei massimali indicati e a condizione della separazione analitica dei progetti e delle spese ammissibili pertinenti alle diverse tipologie di attività, è possibile applicare il beneficio anche per più attività ammissibili nello stesso periodo d'imposta”.</w:t>
      </w:r>
    </w:p>
    <w:p w14:paraId="793169D4" w14:textId="77777777" w:rsidR="00D54DEA" w:rsidRPr="00EC14DE" w:rsidRDefault="00D54DEA" w:rsidP="007C594F">
      <w:pPr>
        <w:widowControl w:val="0"/>
        <w:rPr>
          <w:rFonts w:eastAsia="Calibri" w:cs="Times New Roman"/>
        </w:rPr>
      </w:pPr>
      <w:r w:rsidRPr="00EC14DE">
        <w:rPr>
          <w:rFonts w:eastAsia="Calibri" w:cs="Times New Roman"/>
        </w:rPr>
        <w:t>203-</w:t>
      </w:r>
      <w:r w:rsidRPr="00EC14DE">
        <w:rPr>
          <w:rFonts w:eastAsia="Calibri" w:cs="Times New Roman"/>
          <w:i/>
        </w:rPr>
        <w:t>sexies.</w:t>
      </w:r>
      <w:r w:rsidRPr="00EC14DE">
        <w:rPr>
          <w:rFonts w:eastAsia="Calibri" w:cs="Times New Roman"/>
        </w:rPr>
        <w:t xml:space="preserve"> Per le attività di innovazione tecnologica previste dal comma 201 finalizzate alla realizzazione di prodotti o processi di produzione nuovi o sostanzialmente migliorati per il raggiungimento di un obiettivo di transizione ecologica o di innovazione digitale 4.0, individuati con il decreto del Ministro dello sviluppo economico previsto dal comma 200, il credito d'imposta è riconosciuto, dal periodo d’imposta successivo a quello in corso al 31 dicembre 2023 e fino a quello in corso al 31 dicembre 2025, in misura pari al 5 per cento della relativa base di calcolo, assunta al netto delle altre sovvenzioni o dei contributi a qualunque titolo ricevuti sulle stesse spese ammissibili, nel limite massimo annuale di 4 milioni di euro, ragguagliato ad anno in caso di periodo d'imposta di durata inferiore o superiore a dodici mesi. Nel rispetto dei massimali indicati e a condizione della separazione analitica dei progetti e delle spese ammissibili pertinenti alle diverse tipologie di attività, è possibile applicare il beneficio anche per più attività ammissibili nello stesso periodo d'imposta”.”</w:t>
      </w:r>
    </w:p>
    <w:p w14:paraId="77B5EC76" w14:textId="77777777" w:rsidR="00D54DEA" w:rsidRPr="00EC14DE" w:rsidRDefault="00D54DEA" w:rsidP="007C594F">
      <w:pPr>
        <w:widowControl w:val="0"/>
        <w:rPr>
          <w:rFonts w:eastAsia="Calibri" w:cs="Times New Roman"/>
        </w:rPr>
      </w:pPr>
      <w:r w:rsidRPr="00EC14DE">
        <w:rPr>
          <w:rFonts w:eastAsia="Calibri" w:cs="Times New Roman"/>
        </w:rPr>
        <w:t>d) al comma 205 le parole “al comma 203” sono sostituite dalle seguenti: “ai commi da 203 a 203-sexies”.</w:t>
      </w:r>
    </w:p>
    <w:p w14:paraId="193D7437" w14:textId="77777777" w:rsidR="007513D1" w:rsidRPr="00EC14DE" w:rsidRDefault="007513D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(Rifinanziamento della misura “Nuova Sabatini”)</w:t>
      </w:r>
    </w:p>
    <w:p w14:paraId="65A01382" w14:textId="77777777" w:rsidR="009E4191" w:rsidRPr="00EC14DE" w:rsidRDefault="009E4191" w:rsidP="009E4191">
      <w:pPr>
        <w:widowControl w:val="0"/>
      </w:pPr>
      <w:r w:rsidRPr="00EC14DE">
        <w:t>1. Al fine di assicurare continuità alle misure di sostegno agli investimenti produttivi delle micro, piccole e medie imprese attuate ai sensi dell’articolo 2 del decreto-legge 21 giugno 2013, n. 69, convertito, con modificazioni, dalla legge 9 agosto 2013, n. 98, l’autorizzazione di spesa di cui al comma 8 del medesimo articolo 2 è integrata di 240 milioni di euro per ciascuno degli anni 2022 e 2023, 120 milioni per ciascuno degli anni dal 2024 al 2026, 60 milioni per l’anno 2027.</w:t>
      </w:r>
    </w:p>
    <w:p w14:paraId="49193E8A" w14:textId="77777777" w:rsidR="009E4191" w:rsidRPr="00EC14DE" w:rsidRDefault="009E4191" w:rsidP="009E4191">
      <w:pPr>
        <w:widowControl w:val="0"/>
      </w:pPr>
      <w:r w:rsidRPr="00EC14DE">
        <w:t>2. All'articolo 2, comma 4, del decreto-legge 21 giugno 2013, n. 69, convertito, con modificazioni, dalla legge 9 agosto 2013, n. 98, le parole: «in un'unica soluzione, secondo le modalità determinate con il medesimo decreto» sono sostituite dalle seguenti «in più quote determinate con il medesimo decreto. In caso di finanziamento di importo non superiore a 200.000 euro, il contributo può essere erogato in un'unica soluzione nei limiti delle risorse disponibili».”</w:t>
      </w:r>
    </w:p>
    <w:p w14:paraId="68810594" w14:textId="77777777" w:rsidR="002529A8" w:rsidRPr="00EC14DE" w:rsidRDefault="002529A8"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r>
      <w:r w:rsidR="00CE1D4A" w:rsidRPr="00EC14DE">
        <w:t>(</w:t>
      </w:r>
      <w:r w:rsidR="00A53422" w:rsidRPr="00EC14DE">
        <w:t>Potenziamento dell’internazionalizzazione delle imprese</w:t>
      </w:r>
      <w:r w:rsidR="00CA1E70" w:rsidRPr="00EC14DE">
        <w:t>)</w:t>
      </w:r>
      <w:r w:rsidR="00700D53" w:rsidRPr="00EC14DE">
        <w:t xml:space="preserve"> </w:t>
      </w:r>
    </w:p>
    <w:p w14:paraId="38BFE99D" w14:textId="77777777" w:rsidR="002529A8" w:rsidRPr="00EC14DE" w:rsidRDefault="002529A8" w:rsidP="007C594F">
      <w:pPr>
        <w:widowControl w:val="0"/>
        <w:rPr>
          <w:rFonts w:cs="Times New Roman"/>
        </w:rPr>
      </w:pPr>
      <w:r w:rsidRPr="00EC14DE">
        <w:rPr>
          <w:rFonts w:cs="Times New Roman"/>
        </w:rPr>
        <w:t>1. Per il sostegno all’internazionalizzazione delle imprese italiane, sono disposti i seguenti interventi:</w:t>
      </w:r>
    </w:p>
    <w:p w14:paraId="357206A0" w14:textId="77777777" w:rsidR="002529A8" w:rsidRPr="00EC14DE" w:rsidRDefault="002529A8" w:rsidP="007C594F">
      <w:pPr>
        <w:widowControl w:val="0"/>
        <w:rPr>
          <w:rFonts w:cs="Times New Roman"/>
        </w:rPr>
      </w:pPr>
      <w:r w:rsidRPr="00EC14DE">
        <w:rPr>
          <w:rFonts w:cs="Times New Roman"/>
        </w:rPr>
        <w:t xml:space="preserve">a) la dotazione del fondo </w:t>
      </w:r>
      <w:r w:rsidR="00D41EBA" w:rsidRPr="00EC14DE">
        <w:rPr>
          <w:rFonts w:cs="Times New Roman"/>
        </w:rPr>
        <w:t xml:space="preserve">rotativo di cui all'articolo 2, </w:t>
      </w:r>
      <w:r w:rsidRPr="00EC14DE">
        <w:rPr>
          <w:rFonts w:cs="Times New Roman"/>
        </w:rPr>
        <w:t>comma</w:t>
      </w:r>
      <w:r w:rsidR="00D41EBA" w:rsidRPr="00EC14DE">
        <w:rPr>
          <w:rFonts w:cs="Times New Roman"/>
        </w:rPr>
        <w:t xml:space="preserve"> 1</w:t>
      </w:r>
      <w:r w:rsidRPr="00EC14DE">
        <w:rPr>
          <w:rFonts w:cs="Times New Roman"/>
        </w:rPr>
        <w:t xml:space="preserve">, del decreto-legge 28 maggio 1981, n. 251, convertito, con modificazioni, dalla legge 29 luglio 1981, n. 394, è incrementata </w:t>
      </w:r>
      <w:r w:rsidR="008A34EB" w:rsidRPr="00EC14DE">
        <w:rPr>
          <w:rFonts w:cs="Times New Roman"/>
        </w:rPr>
        <w:t xml:space="preserve">di </w:t>
      </w:r>
      <w:r w:rsidRPr="00EC14DE">
        <w:rPr>
          <w:rFonts w:cs="Times New Roman"/>
        </w:rPr>
        <w:t>1,5 miliardi</w:t>
      </w:r>
      <w:r w:rsidR="008A34EB" w:rsidRPr="00EC14DE">
        <w:rPr>
          <w:rFonts w:cs="Times New Roman"/>
        </w:rPr>
        <w:t xml:space="preserve"> di euro</w:t>
      </w:r>
      <w:r w:rsidRPr="00EC14DE">
        <w:rPr>
          <w:rFonts w:cs="Times New Roman"/>
        </w:rPr>
        <w:t xml:space="preserve"> per ciascuno degli anni</w:t>
      </w:r>
      <w:r w:rsidR="0087591E" w:rsidRPr="00EC14DE">
        <w:rPr>
          <w:rFonts w:cs="Times New Roman"/>
        </w:rPr>
        <w:t xml:space="preserve"> dal</w:t>
      </w:r>
      <w:r w:rsidRPr="00EC14DE">
        <w:rPr>
          <w:rFonts w:cs="Times New Roman"/>
        </w:rPr>
        <w:t xml:space="preserve"> 2022</w:t>
      </w:r>
      <w:r w:rsidR="0087591E" w:rsidRPr="00EC14DE">
        <w:rPr>
          <w:rFonts w:cs="Times New Roman"/>
        </w:rPr>
        <w:t xml:space="preserve"> al 2026;</w:t>
      </w:r>
    </w:p>
    <w:p w14:paraId="7274F2C0" w14:textId="77777777" w:rsidR="002529A8" w:rsidRPr="00EC14DE" w:rsidRDefault="002529A8" w:rsidP="007C594F">
      <w:pPr>
        <w:widowControl w:val="0"/>
        <w:rPr>
          <w:rFonts w:cs="Times New Roman"/>
        </w:rPr>
      </w:pPr>
      <w:r w:rsidRPr="00EC14DE">
        <w:rPr>
          <w:rFonts w:cs="Times New Roman"/>
        </w:rPr>
        <w:t>b) la dotazione del fondo di cui all’articolo 72, comma 1, del decreto-legge 17 marzo 2020, n. 18</w:t>
      </w:r>
      <w:r w:rsidR="00612C5C" w:rsidRPr="00EC14DE">
        <w:rPr>
          <w:rFonts w:cs="Times New Roman"/>
        </w:rPr>
        <w:t xml:space="preserve">, convertito, con modificazioni, </w:t>
      </w:r>
      <w:r w:rsidRPr="00EC14DE">
        <w:rPr>
          <w:rFonts w:cs="Times New Roman"/>
        </w:rPr>
        <w:t xml:space="preserve">dalla legge 24 aprile 2020, n. 27, è incrementata di 150 milioni di euro </w:t>
      </w:r>
      <w:r w:rsidR="0052221B" w:rsidRPr="00EC14DE">
        <w:rPr>
          <w:rFonts w:cs="Times New Roman"/>
        </w:rPr>
        <w:t>per ciascuno degli anni dal 2022 al 2026</w:t>
      </w:r>
      <w:r w:rsidRPr="00EC14DE">
        <w:rPr>
          <w:rFonts w:cs="Times New Roman"/>
        </w:rPr>
        <w:t>, per le finalità di cui alla lettera d) del medesimo comma.</w:t>
      </w:r>
    </w:p>
    <w:p w14:paraId="0B91ACA9" w14:textId="77777777" w:rsidR="00CA1E70" w:rsidRPr="00EC14DE" w:rsidRDefault="00CA1E70"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8B6EA5" w:rsidRPr="00EC14DE">
        <w:t xml:space="preserve">Cabina di regia per l’internazionalizzazione e unificazione fondi </w:t>
      </w:r>
      <w:r w:rsidR="00EE45B8" w:rsidRPr="00EC14DE">
        <w:t>ICE</w:t>
      </w:r>
      <w:r w:rsidRPr="00EC14DE">
        <w:t xml:space="preserve">) </w:t>
      </w:r>
    </w:p>
    <w:p w14:paraId="6E997B13" w14:textId="77777777" w:rsidR="00BF1EA5" w:rsidRPr="00EC14DE" w:rsidRDefault="00BF1EA5" w:rsidP="007C594F">
      <w:pPr>
        <w:widowControl w:val="0"/>
        <w:rPr>
          <w:rFonts w:eastAsia="Times New Roman" w:cs="Times New Roman"/>
          <w:lang w:eastAsia="it-IT"/>
        </w:rPr>
      </w:pPr>
      <w:r w:rsidRPr="00EC14DE">
        <w:rPr>
          <w:rFonts w:eastAsia="Times New Roman" w:cs="Times New Roman"/>
          <w:lang w:eastAsia="it-IT"/>
        </w:rPr>
        <w:t xml:space="preserve">1. Per il potenziamento delle politiche di sostegno all’internazionalizzazione delle imprese italiane, sono disposti i seguenti interventi: </w:t>
      </w:r>
    </w:p>
    <w:p w14:paraId="11138423" w14:textId="77777777" w:rsidR="00BF1EA5" w:rsidRPr="00EC14DE" w:rsidRDefault="00BF1EA5" w:rsidP="007C594F">
      <w:pPr>
        <w:widowControl w:val="0"/>
        <w:rPr>
          <w:rFonts w:eastAsia="Times New Roman" w:cs="Times New Roman"/>
          <w:lang w:eastAsia="it-IT"/>
        </w:rPr>
      </w:pPr>
      <w:r w:rsidRPr="00EC14DE">
        <w:rPr>
          <w:rFonts w:eastAsia="Times New Roman" w:cs="Times New Roman"/>
          <w:lang w:eastAsia="it-IT"/>
        </w:rPr>
        <w:t xml:space="preserve">a) all’articolo 14 del decreto-legge 6 luglio 2011, n. 98, convertito, con modificazioni, dalla legge 15 luglio 2011, n. 111, sono apportate le seguenti modificazioni: </w:t>
      </w:r>
    </w:p>
    <w:p w14:paraId="34C0EC7C" w14:textId="77777777" w:rsidR="00BF1EA5" w:rsidRPr="00EC14DE" w:rsidRDefault="00BF1EA5" w:rsidP="007C594F">
      <w:pPr>
        <w:widowControl w:val="0"/>
        <w:ind w:left="708"/>
        <w:rPr>
          <w:rFonts w:eastAsia="Times New Roman" w:cs="Times New Roman"/>
          <w:lang w:eastAsia="it-IT"/>
        </w:rPr>
      </w:pPr>
      <w:r w:rsidRPr="00EC14DE">
        <w:rPr>
          <w:rFonts w:eastAsia="Times New Roman" w:cs="Times New Roman"/>
          <w:lang w:eastAsia="it-IT"/>
        </w:rPr>
        <w:t xml:space="preserve">1) al comma 18-bis, le parole “R.E.TE. Imprese Italia, di Alleanza delle Cooperative italiane e dell'Associazione bancaria italiana” sono sostituite dalle seguenti: “di Alleanza delle Cooperative </w:t>
      </w:r>
      <w:r w:rsidR="00F01108" w:rsidRPr="00EC14DE">
        <w:rPr>
          <w:rFonts w:eastAsia="Times New Roman" w:cs="Times New Roman"/>
          <w:lang w:eastAsia="it-IT"/>
        </w:rPr>
        <w:t xml:space="preserve">italiane, della Confederazione italiana della piccola e media industria privata e </w:t>
      </w:r>
      <w:r w:rsidRPr="00EC14DE">
        <w:rPr>
          <w:rFonts w:eastAsia="Times New Roman" w:cs="Times New Roman"/>
          <w:lang w:eastAsia="it-IT"/>
        </w:rPr>
        <w:t>dell’Associazione bancaria italiana, nonché da un rappresentante del settore artigiano, individuato, a rotazione annuale, tra i presidenti di Casartigiani, della Confederazione Nazionale dell’Artigianato e della Piccola e Media Impresa, di Confartigianato Imprese e da un rappresentante del settore del commercio, individuato, a rotazione annuale, tra i presidenti di Con</w:t>
      </w:r>
      <w:r w:rsidR="00A64A4B" w:rsidRPr="00EC14DE">
        <w:rPr>
          <w:rFonts w:eastAsia="Times New Roman" w:cs="Times New Roman"/>
          <w:lang w:eastAsia="it-IT"/>
        </w:rPr>
        <w:t xml:space="preserve">fcommercio e di Confesercenti. </w:t>
      </w:r>
      <w:r w:rsidR="000002E2" w:rsidRPr="00EC14DE">
        <w:rPr>
          <w:rFonts w:eastAsia="Times New Roman" w:cs="Times New Roman"/>
          <w:lang w:eastAsia="it-IT"/>
        </w:rPr>
        <w:t>Ai componenti della cabina di regia non spettano compensi, gettoni di presenza, rimborsi spese o altri emolumenti comunque denominati”;</w:t>
      </w:r>
    </w:p>
    <w:p w14:paraId="683D2C9B" w14:textId="77777777" w:rsidR="00BF1EA5" w:rsidRPr="00EC14DE" w:rsidRDefault="00BF1EA5" w:rsidP="007C594F">
      <w:pPr>
        <w:widowControl w:val="0"/>
        <w:ind w:left="708"/>
        <w:rPr>
          <w:rFonts w:eastAsia="Times New Roman" w:cs="Times New Roman"/>
          <w:lang w:eastAsia="it-IT"/>
        </w:rPr>
      </w:pPr>
      <w:r w:rsidRPr="00EC14DE">
        <w:rPr>
          <w:rFonts w:eastAsia="Times New Roman" w:cs="Times New Roman"/>
          <w:lang w:eastAsia="it-IT"/>
        </w:rPr>
        <w:t>2) dopo il comma 20, sono inseriti i seguenti: “20-bis. La programmazione triennale dell’utilizzo delle risorse del fondo di cui al comma 19 è adottata con decreto del Ministro degli affari esteri e della cooperazione internazionale, d’intesa con il Ministro dello sviluppo economico e, per quanto di competenza, con il Ministro delle politiche agricole, alimentari e forestali, tenuto conto degli indirizzi della Cabina di regia di cui al comma 18-bis. Sul decreto di cui al primo periodo è acquisita l’intesa della Conferenza permanente per i rapporti tra lo Stato, le Regioni e le Provin</w:t>
      </w:r>
      <w:r w:rsidR="00891BBC" w:rsidRPr="00EC14DE">
        <w:rPr>
          <w:rFonts w:eastAsia="Times New Roman" w:cs="Times New Roman"/>
          <w:lang w:eastAsia="it-IT"/>
        </w:rPr>
        <w:t>ce autonome di Trento e Bolzano.</w:t>
      </w:r>
    </w:p>
    <w:p w14:paraId="0DE5352A" w14:textId="77777777" w:rsidR="00BF1EA5" w:rsidRPr="00EC14DE" w:rsidRDefault="00BF1EA5" w:rsidP="007C594F">
      <w:pPr>
        <w:widowControl w:val="0"/>
        <w:ind w:left="708"/>
        <w:rPr>
          <w:rFonts w:eastAsia="Times New Roman" w:cs="Times New Roman"/>
          <w:lang w:eastAsia="it-IT"/>
        </w:rPr>
      </w:pPr>
      <w:r w:rsidRPr="00EC14DE">
        <w:rPr>
          <w:rFonts w:eastAsia="Times New Roman" w:cs="Times New Roman"/>
          <w:lang w:eastAsia="it-IT"/>
        </w:rPr>
        <w:t>20-ter. Il Ministro degli affari esteri e della cooperazione internazionale riferisce annualmente al Parlamento sull’andamento dell’attività promozionale e sull’attuazione della programmazione di cui al comma 20-bis, sulla base di una relaz</w:t>
      </w:r>
      <w:r w:rsidR="00AF107A" w:rsidRPr="00EC14DE">
        <w:rPr>
          <w:rFonts w:eastAsia="Times New Roman" w:cs="Times New Roman"/>
          <w:lang w:eastAsia="it-IT"/>
        </w:rPr>
        <w:t>ione predisposta dall’Agenzia.”.</w:t>
      </w:r>
    </w:p>
    <w:p w14:paraId="2D355397" w14:textId="77777777" w:rsidR="00891BBC" w:rsidRPr="00EC14DE" w:rsidRDefault="00891BBC" w:rsidP="007C594F">
      <w:pPr>
        <w:widowControl w:val="0"/>
        <w:rPr>
          <w:rFonts w:eastAsia="Times New Roman" w:cs="Times New Roman"/>
          <w:lang w:eastAsia="it-IT"/>
        </w:rPr>
      </w:pPr>
      <w:r w:rsidRPr="00EC14DE">
        <w:rPr>
          <w:rFonts w:eastAsia="Times New Roman" w:cs="Times New Roman"/>
          <w:lang w:eastAsia="it-IT"/>
        </w:rPr>
        <w:t xml:space="preserve">b) </w:t>
      </w:r>
      <w:r w:rsidR="00066EF7" w:rsidRPr="00EC14DE">
        <w:rPr>
          <w:rFonts w:eastAsia="Times New Roman" w:cs="Times New Roman"/>
          <w:lang w:eastAsia="it-IT"/>
        </w:rPr>
        <w:t>il fondo di cui all’articolo 14, comma 19, del decreto-legge 6 luglio 2011, n. 98, convertito, con modificazioni dalla legge 15 luglio 2011, n. 111, è incrementato di 1.000.000 euro per l’anno 2024, 63.722.329 euro per l’anno 2025, 69.322.329 euro per l’anno 2026, 73.722.329 euro per l’anno 2027, 76.322.329 euro per l’anno 2028 e 81.322.329 euro a decorrere dall’anno 2029;</w:t>
      </w:r>
    </w:p>
    <w:p w14:paraId="71D49EB2" w14:textId="77777777" w:rsidR="00BF1EA5" w:rsidRPr="00EC14DE" w:rsidRDefault="00891BBC" w:rsidP="007C594F">
      <w:pPr>
        <w:widowControl w:val="0"/>
        <w:rPr>
          <w:rFonts w:eastAsia="Times New Roman" w:cs="Times New Roman"/>
          <w:lang w:eastAsia="it-IT"/>
        </w:rPr>
      </w:pPr>
      <w:r w:rsidRPr="00EC14DE">
        <w:rPr>
          <w:rFonts w:eastAsia="Times New Roman" w:cs="Times New Roman"/>
          <w:lang w:eastAsia="it-IT"/>
        </w:rPr>
        <w:t>c</w:t>
      </w:r>
      <w:r w:rsidR="00BF1EA5" w:rsidRPr="00EC14DE">
        <w:rPr>
          <w:rFonts w:eastAsia="Times New Roman" w:cs="Times New Roman"/>
          <w:lang w:eastAsia="it-IT"/>
        </w:rPr>
        <w:t>) l’articolo 4, comma 61, della legge 24 dicembre 2003, n. 350 è abrogato;</w:t>
      </w:r>
    </w:p>
    <w:p w14:paraId="04D90083" w14:textId="77777777" w:rsidR="00BF1EA5" w:rsidRPr="00EC14DE" w:rsidRDefault="00891BBC" w:rsidP="007C594F">
      <w:pPr>
        <w:widowControl w:val="0"/>
        <w:rPr>
          <w:rFonts w:eastAsia="Times New Roman" w:cs="Times New Roman"/>
          <w:lang w:eastAsia="it-IT"/>
        </w:rPr>
      </w:pPr>
      <w:r w:rsidRPr="00EC14DE">
        <w:rPr>
          <w:rFonts w:eastAsia="Times New Roman" w:cs="Times New Roman"/>
          <w:lang w:eastAsia="it-IT"/>
        </w:rPr>
        <w:t>d</w:t>
      </w:r>
      <w:r w:rsidR="00BF1EA5" w:rsidRPr="00EC14DE">
        <w:rPr>
          <w:rFonts w:eastAsia="Times New Roman" w:cs="Times New Roman"/>
          <w:lang w:eastAsia="it-IT"/>
        </w:rPr>
        <w:t>) all’articolo 30</w:t>
      </w:r>
      <w:r w:rsidR="00D41EBA" w:rsidRPr="00EC14DE">
        <w:rPr>
          <w:rFonts w:eastAsia="Times New Roman" w:cs="Times New Roman"/>
          <w:lang w:eastAsia="it-IT"/>
        </w:rPr>
        <w:t xml:space="preserve">, </w:t>
      </w:r>
      <w:r w:rsidR="00BF1EA5" w:rsidRPr="00EC14DE">
        <w:rPr>
          <w:rFonts w:eastAsia="Times New Roman" w:cs="Times New Roman"/>
          <w:lang w:eastAsia="it-IT"/>
        </w:rPr>
        <w:t>del decreto-legge 12 settembre 2014, n. 133, convertito</w:t>
      </w:r>
      <w:r w:rsidR="00D41EBA" w:rsidRPr="00EC14DE">
        <w:rPr>
          <w:rFonts w:eastAsia="Times New Roman" w:cs="Times New Roman"/>
          <w:lang w:eastAsia="it-IT"/>
        </w:rPr>
        <w:t>,</w:t>
      </w:r>
      <w:r w:rsidR="00BF1EA5" w:rsidRPr="00EC14DE">
        <w:rPr>
          <w:rFonts w:eastAsia="Times New Roman" w:cs="Times New Roman"/>
          <w:lang w:eastAsia="it-IT"/>
        </w:rPr>
        <w:t xml:space="preserve"> con modificazioni</w:t>
      </w:r>
      <w:r w:rsidR="00D41EBA" w:rsidRPr="00EC14DE">
        <w:rPr>
          <w:rFonts w:eastAsia="Times New Roman" w:cs="Times New Roman"/>
          <w:lang w:eastAsia="it-IT"/>
        </w:rPr>
        <w:t>,</w:t>
      </w:r>
      <w:r w:rsidR="00BF1EA5" w:rsidRPr="00EC14DE">
        <w:rPr>
          <w:rFonts w:eastAsia="Times New Roman" w:cs="Times New Roman"/>
          <w:lang w:eastAsia="it-IT"/>
        </w:rPr>
        <w:t xml:space="preserve"> dalla legge 11 novembre 2014, n. 164, i commi 1, 2, 3, 3-bis, 4, 5, 8, 9 sono abrogati;</w:t>
      </w:r>
    </w:p>
    <w:p w14:paraId="13F56028" w14:textId="77777777" w:rsidR="00BF1EA5" w:rsidRPr="00EC14DE" w:rsidRDefault="00891BBC" w:rsidP="007C594F">
      <w:pPr>
        <w:widowControl w:val="0"/>
        <w:rPr>
          <w:rFonts w:eastAsia="Times New Roman" w:cs="Times New Roman"/>
          <w:lang w:eastAsia="it-IT"/>
        </w:rPr>
      </w:pPr>
      <w:r w:rsidRPr="00EC14DE">
        <w:rPr>
          <w:rFonts w:eastAsia="Times New Roman" w:cs="Times New Roman"/>
          <w:lang w:eastAsia="it-IT"/>
        </w:rPr>
        <w:t>e</w:t>
      </w:r>
      <w:r w:rsidR="00BF1EA5" w:rsidRPr="00EC14DE">
        <w:rPr>
          <w:rFonts w:eastAsia="Times New Roman" w:cs="Times New Roman"/>
          <w:lang w:eastAsia="it-IT"/>
        </w:rPr>
        <w:t>) l’articolo 1, comma 297, della legge 27 dicembre 2019, n. 160, è abrogato.</w:t>
      </w:r>
    </w:p>
    <w:p w14:paraId="4776ABB5" w14:textId="77777777" w:rsidR="00F52296" w:rsidRPr="00EC14DE" w:rsidRDefault="00B434BF" w:rsidP="007C594F">
      <w:pPr>
        <w:pStyle w:val="Titolo1"/>
        <w:keepNext w:val="0"/>
        <w:keepLines w:val="0"/>
        <w:widowControl w:val="0"/>
      </w:pPr>
      <w:r w:rsidRPr="00EC14DE">
        <w:t>Capo II</w:t>
      </w:r>
      <w:r w:rsidR="00F52296" w:rsidRPr="00EC14DE">
        <w:br/>
      </w:r>
      <w:r w:rsidRPr="00EC14DE">
        <w:t>Misure per l</w:t>
      </w:r>
      <w:r w:rsidR="002529A8" w:rsidRPr="00EC14DE">
        <w:t>’accesso al credito e l</w:t>
      </w:r>
      <w:r w:rsidRPr="00EC14DE">
        <w:t>a liquidità</w:t>
      </w:r>
      <w:r w:rsidR="002529A8" w:rsidRPr="00EC14DE">
        <w:t xml:space="preserve"> delle imprese</w:t>
      </w:r>
    </w:p>
    <w:p w14:paraId="2EA61C0A" w14:textId="77777777" w:rsidR="00F52296" w:rsidRPr="00EC14DE" w:rsidRDefault="00F52296"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(Fondo di garanzia per le PMI</w:t>
      </w:r>
      <w:r w:rsidR="0027292E" w:rsidRPr="00EC14DE">
        <w:t>)</w:t>
      </w:r>
      <w:r w:rsidR="00C0352A" w:rsidRPr="00EC14DE">
        <w:t xml:space="preserve"> </w:t>
      </w:r>
    </w:p>
    <w:p w14:paraId="358E8AF1" w14:textId="77777777" w:rsidR="00D030FA" w:rsidRPr="00EC14DE" w:rsidRDefault="001F0D99" w:rsidP="007C594F">
      <w:pPr>
        <w:widowControl w:val="0"/>
        <w:rPr>
          <w:rFonts w:cs="Times New Roman"/>
        </w:rPr>
      </w:pPr>
      <w:r w:rsidRPr="00EC14DE">
        <w:rPr>
          <w:rFonts w:cs="Times New Roman"/>
        </w:rPr>
        <w:t>1. All’articolo 13</w:t>
      </w:r>
      <w:r w:rsidR="00D030FA" w:rsidRPr="00EC14DE">
        <w:rPr>
          <w:rFonts w:cs="Times New Roman"/>
        </w:rPr>
        <w:t xml:space="preserve"> del decreto-legge 8 aprile 2020, n. 23, convertito, con modificazioni, dalla legge 5 giugno 2020, n. 40, sono apportate le seguenti modificazioni:</w:t>
      </w:r>
    </w:p>
    <w:p w14:paraId="38751B30" w14:textId="77777777" w:rsidR="00D030FA" w:rsidRPr="00EC14DE" w:rsidRDefault="00D030FA" w:rsidP="000831E3">
      <w:pPr>
        <w:pStyle w:val="Paragrafoelenco"/>
        <w:widowControl w:val="0"/>
        <w:numPr>
          <w:ilvl w:val="0"/>
          <w:numId w:val="32"/>
        </w:numPr>
        <w:spacing w:line="276" w:lineRule="auto"/>
        <w:rPr>
          <w:rFonts w:ascii="Times New Roman" w:hAnsi="Times New Roman" w:cs="Times New Roman"/>
        </w:rPr>
      </w:pPr>
      <w:r w:rsidRPr="00EC14DE">
        <w:rPr>
          <w:rFonts w:ascii="Times New Roman" w:hAnsi="Times New Roman" w:cs="Times New Roman"/>
        </w:rPr>
        <w:t>al comma 1:</w:t>
      </w:r>
    </w:p>
    <w:p w14:paraId="7FA0DFE5" w14:textId="77777777" w:rsidR="00D030FA" w:rsidRPr="00EC14DE" w:rsidRDefault="00D030FA" w:rsidP="007C594F">
      <w:pPr>
        <w:widowControl w:val="0"/>
        <w:rPr>
          <w:rFonts w:cs="Times New Roman"/>
        </w:rPr>
      </w:pPr>
      <w:r w:rsidRPr="00EC14DE">
        <w:rPr>
          <w:rFonts w:cs="Times New Roman"/>
        </w:rPr>
        <w:t>         1) al primo periodo, le parole “</w:t>
      </w:r>
      <w:r w:rsidRPr="00EC14DE">
        <w:rPr>
          <w:rFonts w:cs="Times New Roman"/>
          <w:iCs/>
        </w:rPr>
        <w:t>31 dicembre 2020</w:t>
      </w:r>
      <w:r w:rsidRPr="00EC14DE">
        <w:rPr>
          <w:rFonts w:cs="Times New Roman"/>
        </w:rPr>
        <w:t>” sono sostituite dalle seguenti “</w:t>
      </w:r>
      <w:r w:rsidRPr="00EC14DE">
        <w:rPr>
          <w:rFonts w:cs="Times New Roman"/>
          <w:iCs/>
        </w:rPr>
        <w:t>30 giugno 2022, fatto salvo quanto previsto dalle lettere a), e m)</w:t>
      </w:r>
      <w:r w:rsidRPr="00EC14DE">
        <w:rPr>
          <w:rFonts w:cs="Times New Roman"/>
        </w:rPr>
        <w:t>”;</w:t>
      </w:r>
    </w:p>
    <w:p w14:paraId="59BA3DC4" w14:textId="77777777" w:rsidR="00D030FA" w:rsidRPr="00EC14DE" w:rsidRDefault="00D030FA" w:rsidP="007C594F">
      <w:pPr>
        <w:widowControl w:val="0"/>
        <w:rPr>
          <w:rFonts w:cs="Times New Roman"/>
        </w:rPr>
      </w:pPr>
      <w:r w:rsidRPr="00EC14DE">
        <w:rPr>
          <w:rFonts w:cs="Times New Roman"/>
        </w:rPr>
        <w:t>         2) alla lettera a), le parole “</w:t>
      </w:r>
      <w:r w:rsidRPr="00EC14DE">
        <w:rPr>
          <w:rFonts w:cs="Times New Roman"/>
          <w:iCs/>
        </w:rPr>
        <w:t>a titolo gratuito</w:t>
      </w:r>
      <w:r w:rsidRPr="00EC14DE">
        <w:rPr>
          <w:rFonts w:cs="Times New Roman"/>
        </w:rPr>
        <w:t>;” sono sostituite dalle seguenti: “</w:t>
      </w:r>
      <w:r w:rsidRPr="00EC14DE">
        <w:rPr>
          <w:rFonts w:cs="Times New Roman"/>
          <w:iCs/>
        </w:rPr>
        <w:t>a titolo gratuito. A decorrere dal 1° aprile 2022, le garanzie sono concesse previo pagamento di una commissione da versare al Fondo di cui all’articolo 2, comma 100, lettera a), della legge 23 dicembre 1996, n. 662;</w:t>
      </w:r>
      <w:r w:rsidRPr="00EC14DE">
        <w:rPr>
          <w:rFonts w:cs="Times New Roman"/>
        </w:rPr>
        <w:t xml:space="preserve">”; </w:t>
      </w:r>
    </w:p>
    <w:p w14:paraId="58E05F7E" w14:textId="77777777" w:rsidR="00D030FA" w:rsidRPr="00EC14DE" w:rsidRDefault="00D030FA" w:rsidP="007C594F">
      <w:pPr>
        <w:widowControl w:val="0"/>
        <w:rPr>
          <w:rFonts w:cs="Times New Roman"/>
        </w:rPr>
      </w:pPr>
      <w:r w:rsidRPr="00EC14DE">
        <w:rPr>
          <w:rFonts w:cs="Times New Roman"/>
        </w:rPr>
        <w:t>         3)  alla lettera g), in principio, sono inserite le parole “</w:t>
      </w:r>
      <w:r w:rsidRPr="00EC14DE">
        <w:rPr>
          <w:rFonts w:cs="Times New Roman"/>
          <w:iCs/>
        </w:rPr>
        <w:t>fino al 30 giugno 2022,</w:t>
      </w:r>
      <w:r w:rsidRPr="00EC14DE">
        <w:rPr>
          <w:rFonts w:cs="Times New Roman"/>
        </w:rPr>
        <w:t>”;</w:t>
      </w:r>
    </w:p>
    <w:p w14:paraId="32BC5611" w14:textId="77777777" w:rsidR="00D030FA" w:rsidRPr="00EC14DE" w:rsidRDefault="00D030FA" w:rsidP="007C594F">
      <w:pPr>
        <w:widowControl w:val="0"/>
        <w:rPr>
          <w:rFonts w:cs="Times New Roman"/>
        </w:rPr>
      </w:pPr>
      <w:r w:rsidRPr="00EC14DE">
        <w:rPr>
          <w:rFonts w:cs="Times New Roman"/>
        </w:rPr>
        <w:t>         4) alla lettera m), primo periodo, dopo le parole: “</w:t>
      </w:r>
      <w:r w:rsidRPr="00EC14DE">
        <w:rPr>
          <w:rFonts w:cs="Times New Roman"/>
          <w:iCs/>
        </w:rPr>
        <w:t>con copertura al 90 per cento</w:t>
      </w:r>
      <w:r w:rsidRPr="00EC14DE">
        <w:rPr>
          <w:rFonts w:cs="Times New Roman"/>
        </w:rPr>
        <w:t>”, sono aggiunte le seguenti: “</w:t>
      </w:r>
      <w:r w:rsidRPr="00EC14DE">
        <w:rPr>
          <w:rFonts w:cs="Times New Roman"/>
          <w:iCs/>
        </w:rPr>
        <w:t>e, dal 1° gennaio 2022, con copertura all’80 per cento,</w:t>
      </w:r>
      <w:r w:rsidRPr="00EC14DE">
        <w:rPr>
          <w:rFonts w:cs="Times New Roman"/>
        </w:rPr>
        <w:t>” e dopo il periodo «</w:t>
      </w:r>
      <w:r w:rsidRPr="00EC14DE">
        <w:rPr>
          <w:rFonts w:cs="Times New Roman"/>
          <w:iCs/>
        </w:rPr>
        <w:t>senza attendere l’esito definitivo dell’istruttoria da parte del gestore del Fondo medesimo.</w:t>
      </w:r>
      <w:r w:rsidRPr="00EC14DE">
        <w:rPr>
          <w:rFonts w:cs="Times New Roman"/>
        </w:rPr>
        <w:t>» è aggiunto il seguente «</w:t>
      </w:r>
      <w:r w:rsidRPr="00EC14DE">
        <w:rPr>
          <w:rFonts w:cs="Times New Roman"/>
          <w:iCs/>
        </w:rPr>
        <w:t>A decorrere dal 1° aprile 2022 per il rilascio della garanzia di cui alla presente lettera è previsto il pagamento di una commissione da versare al Fondo di cui all’articolo 2, comma 100, lettera a), della legge 23 dicembre 1996, n. 662.</w:t>
      </w:r>
      <w:r w:rsidRPr="00EC14DE">
        <w:rPr>
          <w:rFonts w:cs="Times New Roman"/>
        </w:rPr>
        <w:t>» ;</w:t>
      </w:r>
    </w:p>
    <w:p w14:paraId="7E3E9639" w14:textId="77777777" w:rsidR="00D030FA" w:rsidRPr="00EC14DE" w:rsidRDefault="00D030FA" w:rsidP="000831E3">
      <w:pPr>
        <w:pStyle w:val="Paragrafoelenco"/>
        <w:widowControl w:val="0"/>
        <w:numPr>
          <w:ilvl w:val="0"/>
          <w:numId w:val="32"/>
        </w:numPr>
        <w:spacing w:line="276" w:lineRule="auto"/>
        <w:jc w:val="both"/>
        <w:rPr>
          <w:rFonts w:ascii="Times New Roman" w:hAnsi="Times New Roman" w:cs="Times New Roman"/>
        </w:rPr>
      </w:pPr>
      <w:r w:rsidRPr="00EC14DE">
        <w:rPr>
          <w:rFonts w:ascii="Times New Roman" w:hAnsi="Times New Roman" w:cs="Times New Roman"/>
        </w:rPr>
        <w:t>al comma 12-bis le parole “</w:t>
      </w:r>
      <w:r w:rsidRPr="00EC14DE">
        <w:rPr>
          <w:rFonts w:ascii="Times New Roman" w:hAnsi="Times New Roman" w:cs="Times New Roman"/>
          <w:iCs/>
        </w:rPr>
        <w:t>31 dicembre 2021</w:t>
      </w:r>
      <w:r w:rsidRPr="00EC14DE">
        <w:rPr>
          <w:rFonts w:ascii="Times New Roman" w:hAnsi="Times New Roman" w:cs="Times New Roman"/>
        </w:rPr>
        <w:t>” sono sostituite dalle seguenti “</w:t>
      </w:r>
      <w:r w:rsidRPr="00EC14DE">
        <w:rPr>
          <w:rFonts w:ascii="Times New Roman" w:hAnsi="Times New Roman" w:cs="Times New Roman"/>
          <w:iCs/>
        </w:rPr>
        <w:t>30 giugno 2022</w:t>
      </w:r>
      <w:r w:rsidRPr="00EC14DE">
        <w:rPr>
          <w:rFonts w:ascii="Times New Roman" w:hAnsi="Times New Roman" w:cs="Times New Roman"/>
        </w:rPr>
        <w:t>”.</w:t>
      </w:r>
    </w:p>
    <w:p w14:paraId="421616EC" w14:textId="77777777" w:rsidR="00D030FA" w:rsidRPr="00EC14DE" w:rsidRDefault="00D030FA" w:rsidP="007C594F">
      <w:pPr>
        <w:widowControl w:val="0"/>
        <w:rPr>
          <w:rFonts w:cs="Times New Roman"/>
        </w:rPr>
      </w:pPr>
      <w:r w:rsidRPr="00EC14DE">
        <w:rPr>
          <w:rFonts w:cs="Times New Roman"/>
          <w:bCs/>
        </w:rPr>
        <w:t>2</w:t>
      </w:r>
      <w:r w:rsidRPr="00EC14DE">
        <w:rPr>
          <w:rFonts w:cs="Times New Roman"/>
        </w:rPr>
        <w:t>. Alle richieste di ammissione alla garanzia del Fondo di cui all’articolo 2, comma 100, lettera a), della legge 23 dicembre 1996, n. 662 presentate a far data dal 1° luglio 2022 non si applica la disciplina disposta dall’articolo 13, decreto-legge 8 aprile 2020, n. 23, convertito, con modificazioni, dalla legge 5 giugno 2020, n. 40, in applicazione della Comunicazione della Commissione C(2020) 1863 final del 19 marzo 2020, e sue successive modificazioni e integrazioni, recante un  “Quadro temporaneo per le misure di aiuto di Stato a sostegno dell’economia nell’attuale emergenza del COVID-19”.</w:t>
      </w:r>
    </w:p>
    <w:p w14:paraId="647A2C48" w14:textId="77777777" w:rsidR="00D030FA" w:rsidRPr="00EC14DE" w:rsidRDefault="00D030FA" w:rsidP="007C594F">
      <w:pPr>
        <w:widowControl w:val="0"/>
        <w:rPr>
          <w:rFonts w:cs="Times New Roman"/>
          <w:iCs/>
        </w:rPr>
      </w:pPr>
      <w:r w:rsidRPr="00EC14DE">
        <w:rPr>
          <w:rFonts w:cs="Times New Roman"/>
          <w:bCs/>
        </w:rPr>
        <w:t>3</w:t>
      </w:r>
      <w:r w:rsidRPr="00EC14DE">
        <w:rPr>
          <w:rFonts w:cs="Times New Roman"/>
        </w:rPr>
        <w:t xml:space="preserve">. A decorrere dal 1° luglio 2022 e fino al 31 dicembre 2022, l’importo massimo garantito per singola impresa dal Fondo di cui all’articolo 2, comma 100, lettera a), della legge 23 dicembre 1996, n. 662 è pari a 5 milioni di euro e la garanzia è concessa mediante applicazione del modello di valutazione di cui alla parte IX, lettera A, delle condizioni di ammissibilità e disposizioni di carattere generale per l’amministrazione del Fondo di garanzia, fatta salva l’ammissibilità alla garanzia del Fondo dei soggetti rientranti nella fascia 5 del medesimo modello di valutazione. Le operazioni finanziarie concesse, per esigenze diverse dal sostegno alla realizzazione di investimenti, in favore dei soggetti beneficiari rientranti nelle fasce 1 e 2 del predetto modello di valutazione sono garantite dal Fondo nella misura massima del 60 per cento dell’importo della medesima operazione finanziaria. In relazione alla riassicurazione, la predetta misura massima del 60 per cento è riferita alla misura della copertura del Fondo di garanzia rispetto all’importo dell’operazione finanziaria sottostante, come previsto dall’articolo 7, comma 3, del decreto del Ministro dello sviluppo economico 6 marzo 2017, pubblicato nella Gazzetta Ufficiale n. 157 del 7 luglio 2017; restano ferme le maggiori coperture previste, in relazione a particolari tipologie di soggetti beneficiari, dal predetto decreto ministeriale 6 marzo 2017. </w:t>
      </w:r>
    </w:p>
    <w:p w14:paraId="3E01AA1C" w14:textId="77777777" w:rsidR="00D030FA" w:rsidRPr="00EC14DE" w:rsidRDefault="00D030FA" w:rsidP="007C594F">
      <w:pPr>
        <w:widowControl w:val="0"/>
        <w:rPr>
          <w:rFonts w:cs="Times New Roman"/>
        </w:rPr>
      </w:pPr>
      <w:r w:rsidRPr="00EC14DE">
        <w:rPr>
          <w:rFonts w:cs="Times New Roman"/>
          <w:bCs/>
        </w:rPr>
        <w:t>4.</w:t>
      </w:r>
      <w:r w:rsidRPr="00EC14DE">
        <w:rPr>
          <w:rFonts w:cs="Times New Roman"/>
        </w:rPr>
        <w:t xml:space="preserve"> All’articolo 2, comma 100, lettera a) della legge 23 dicembre</w:t>
      </w:r>
      <w:r w:rsidR="00823F0A" w:rsidRPr="00EC14DE">
        <w:rPr>
          <w:rFonts w:cs="Times New Roman"/>
        </w:rPr>
        <w:t xml:space="preserve"> 1996, n. 662, dopo le parole “</w:t>
      </w:r>
      <w:r w:rsidRPr="00EC14DE">
        <w:rPr>
          <w:rFonts w:cs="Times New Roman"/>
          <w:iCs/>
        </w:rPr>
        <w:t>allo scopo di assicurare una parziale assicurazione ai crediti concessi dagli istituti di credito a favore delle piccole e medie imprese</w:t>
      </w:r>
      <w:r w:rsidRPr="00EC14DE">
        <w:rPr>
          <w:rFonts w:cs="Times New Roman"/>
        </w:rPr>
        <w:t>” sono aggiunte le seguenti: “</w:t>
      </w:r>
      <w:r w:rsidRPr="00EC14DE">
        <w:rPr>
          <w:rFonts w:cs="Times New Roman"/>
          <w:iCs/>
        </w:rPr>
        <w:t>.</w:t>
      </w:r>
      <w:r w:rsidRPr="00EC14DE">
        <w:rPr>
          <w:rFonts w:cs="Times New Roman"/>
          <w:bCs/>
          <w:iCs/>
        </w:rPr>
        <w:t xml:space="preserve"> </w:t>
      </w:r>
      <w:r w:rsidRPr="00EC14DE">
        <w:rPr>
          <w:rFonts w:cs="Times New Roman"/>
          <w:iCs/>
        </w:rPr>
        <w:t>Il Fondo opera entro il limite massimo di impegni assumibile, fissati annualmente dalla legge di bilancio, sulla base: a) di un piano annuale di attività, che definisce previsionalmente la tipologia e l’ammontare preventivato degli importi oggetto dei finanziamenti da garantire, suddiviso per aree geografiche, macro-settori e dimensione delle imprese beneficiarie e le relative stime di perdita attesa; b) del sistema dei limiti di rischio che definisce, in linea con le migliori pratiche del settore bancario e assicurativo, la propensione al rischio del portafoglio delle garanzie del Fondo, tenuto conto dello stock in essere e delle operatività considerate ai fini della redazione del piano annuale di attività, la misura, in termini percentuali ed assoluti degli accantonamenti prudenziali a copertura dei rischi nonché l’indicazione delle politiche di governo dei rischi e dei processi di riferimento necessari per definirli e attuarli. Il Consiglio di gestione del citato Fondo delibera il piano annuale di attività e il sistema dei limiti di rischio che sono approvati, entro il 30 settembre di ciascun anno, su proposta del Ministro dello sviluppo economico, di concerto con il Ministro dell’economia e delle finanze, con delibera del Comitato interministeriale per la programmazione economica e lo sviluppo sostenibile (CIPESS). Per l’esercizio finanziario 2022, nelle more dell’adozione del primo piano annuale di attività e del primo sistema dei limiti di rischio di cui alla presente lettera, il limite massimo di impegni assumibile è fissato dalla legge di bilancio in assenza della delibera del CIPESS. Ai fini dell’efficiente programmazione e allocazione delle risorse da stanziare a copertura del fabbisogno finanziario del Fondo e dell’efficace e costante monitoraggio dell’entità dei rischi di escussione delle garanzie pubbliche, anche in relazione alla stima del relativo impatto sui saldi di bilancio, funzionale alla redazione dei documenti di finanza pubblica e alle rilevazioni statistiche ad essi correlate, il Consiglio  di gestione  del menzionato Fondo trasmette al Ministero dell’economia e delle finanze e al Ministero dello sviluppo economico, su base semestrale, una relazione volta a fornire una panoramica dei volumi e della composizione del portafoglio e delle relative stime di rischio e su base almeno trimestrale, e in ogni caso su richiesta, un prospetto di sintesi recante l’indicazione del numero di operazioni effettuate dell’entità del finanziamento residuo e del garantito in essere, della stima di perdita attesa e della percentuale media di accantonamento a presidio del rischio relativi al trimestre di riferimento, unitamente alla rendicontazione sintetica degli indennizzi e dei recuperi effettuati nel trimestre precedente.</w:t>
      </w:r>
      <w:r w:rsidRPr="00EC14DE">
        <w:rPr>
          <w:rFonts w:cs="Times New Roman"/>
        </w:rPr>
        <w:t>”.</w:t>
      </w:r>
    </w:p>
    <w:p w14:paraId="60E7D9D9" w14:textId="77777777" w:rsidR="00D030FA" w:rsidRPr="00EC14DE" w:rsidRDefault="00D030FA" w:rsidP="007C594F">
      <w:pPr>
        <w:widowControl w:val="0"/>
        <w:rPr>
          <w:rFonts w:cs="Times New Roman"/>
        </w:rPr>
      </w:pPr>
      <w:r w:rsidRPr="00EC14DE">
        <w:rPr>
          <w:rFonts w:cs="Times New Roman"/>
          <w:bCs/>
        </w:rPr>
        <w:t>5.</w:t>
      </w:r>
      <w:r w:rsidRPr="00EC14DE">
        <w:rPr>
          <w:rFonts w:cs="Times New Roman"/>
        </w:rPr>
        <w:t xml:space="preserve"> Per l’anno 2022 il limite cumulato massimo di assunzione degli impegni che il Fondo di cui all’articolo 2, comma 100, lettera a), della legge 23 dicembre 1996, n. 662 può assumere è fissato in 210.000 milioni di euro, di cui in 160.000 milioni di euro riferibili allo stock di garanzie in essere al 31 dicembre 2021 e 50.000 milioni di euro riferito al limite massimo degli impegni assumibili per le garanzie da concedere nel corso dell’esercizio finanziario 2022.</w:t>
      </w:r>
    </w:p>
    <w:p w14:paraId="399D4654" w14:textId="77777777" w:rsidR="00A9053B" w:rsidRDefault="00D030FA" w:rsidP="00A9053B">
      <w:pPr>
        <w:widowControl w:val="0"/>
        <w:rPr>
          <w:rFonts w:cs="Times New Roman"/>
          <w:b/>
          <w:bCs/>
          <w:lang w:eastAsia="it-IT"/>
        </w:rPr>
      </w:pPr>
      <w:r w:rsidRPr="00EC14DE">
        <w:rPr>
          <w:rFonts w:cs="Times New Roman"/>
          <w:bCs/>
          <w:lang w:eastAsia="it-IT"/>
        </w:rPr>
        <w:t>6.</w:t>
      </w:r>
      <w:r w:rsidRPr="00EC14DE">
        <w:rPr>
          <w:rFonts w:cs="Times New Roman"/>
          <w:lang w:eastAsia="it-IT"/>
        </w:rPr>
        <w:t xml:space="preserve"> La dotazione del Fondo di garanzia di cui all’articolo 2, comma 100, lettera a), della legge 23 dicembre 1996, n. 662 è incrementata di 520 milioni di euro per il 2024, 1,7 miliardi di euro per il 2025, 650 milioni di euro per il 2026 e 130 milioni di euro per il 2027.</w:t>
      </w:r>
      <w:r w:rsidRPr="00EC14DE">
        <w:rPr>
          <w:rFonts w:cs="Times New Roman"/>
          <w:b/>
          <w:bCs/>
          <w:lang w:eastAsia="it-IT"/>
        </w:rPr>
        <w:t xml:space="preserve"> </w:t>
      </w:r>
    </w:p>
    <w:p w14:paraId="619FDEF4" w14:textId="77777777" w:rsidR="00F52296" w:rsidRPr="00EC14DE" w:rsidRDefault="00F52296" w:rsidP="00A9053B">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w:t>
      </w:r>
      <w:r w:rsidR="00E903FB" w:rsidRPr="00EC14DE">
        <w:t>Misure in materia di garanzie a sostegno della liquidità delle imprese</w:t>
      </w:r>
      <w:r w:rsidRPr="00EC14DE">
        <w:t>)</w:t>
      </w:r>
    </w:p>
    <w:p w14:paraId="4D3919B2" w14:textId="77777777" w:rsidR="00F52296" w:rsidRPr="00EC14DE" w:rsidRDefault="00F52296" w:rsidP="007C594F">
      <w:pPr>
        <w:widowControl w:val="0"/>
        <w:tabs>
          <w:tab w:val="left" w:pos="1785"/>
        </w:tabs>
        <w:rPr>
          <w:rFonts w:cs="Times New Roman"/>
        </w:rPr>
      </w:pPr>
      <w:r w:rsidRPr="00EC14DE">
        <w:rPr>
          <w:rFonts w:cs="Times New Roman"/>
        </w:rPr>
        <w:t>1. Al decreto-legge 8 aprile 2020, n. 23, convertito, con modificazioni, dalla legge 5 giugno 2020, n. 40, sono apportate le seguenti modificazioni:</w:t>
      </w:r>
    </w:p>
    <w:p w14:paraId="229BA073" w14:textId="77777777" w:rsidR="00F52296" w:rsidRPr="00EC14DE" w:rsidRDefault="00F52296" w:rsidP="007C594F">
      <w:pPr>
        <w:widowControl w:val="0"/>
        <w:tabs>
          <w:tab w:val="left" w:pos="1785"/>
        </w:tabs>
        <w:rPr>
          <w:rFonts w:cs="Times New Roman"/>
        </w:rPr>
      </w:pPr>
      <w:r w:rsidRPr="00EC14DE">
        <w:rPr>
          <w:rFonts w:cs="Times New Roman"/>
        </w:rPr>
        <w:t xml:space="preserve">a) all’articolo 1, commi 1, 2, lettera a), 13 e 14-bis le parole </w:t>
      </w:r>
      <w:r w:rsidRPr="00EC14DE">
        <w:rPr>
          <w:rFonts w:cs="Times New Roman"/>
          <w:iCs/>
        </w:rPr>
        <w:t>«31 dicembre 2021»</w:t>
      </w:r>
      <w:r w:rsidRPr="00EC14DE">
        <w:rPr>
          <w:rFonts w:cs="Times New Roman"/>
        </w:rPr>
        <w:t xml:space="preserve"> sono sostituite dalle seguenti: </w:t>
      </w:r>
      <w:r w:rsidR="00C2089B" w:rsidRPr="00EC14DE">
        <w:rPr>
          <w:rFonts w:cs="Times New Roman"/>
          <w:iCs/>
        </w:rPr>
        <w:t>«</w:t>
      </w:r>
      <w:r w:rsidRPr="00EC14DE">
        <w:rPr>
          <w:rFonts w:cs="Times New Roman"/>
          <w:iCs/>
        </w:rPr>
        <w:t>30 giugno 2022»;</w:t>
      </w:r>
    </w:p>
    <w:p w14:paraId="47672D00" w14:textId="77777777" w:rsidR="00F52296" w:rsidRPr="00EC14DE" w:rsidRDefault="00F52296" w:rsidP="007C594F">
      <w:pPr>
        <w:widowControl w:val="0"/>
        <w:tabs>
          <w:tab w:val="left" w:pos="1785"/>
        </w:tabs>
        <w:rPr>
          <w:rFonts w:cs="Times New Roman"/>
        </w:rPr>
      </w:pPr>
      <w:r w:rsidRPr="00EC14DE">
        <w:rPr>
          <w:rFonts w:cs="Times New Roman"/>
        </w:rPr>
        <w:t xml:space="preserve">b) all’articolo 1-bis.1, le parole </w:t>
      </w:r>
      <w:r w:rsidRPr="00EC14DE">
        <w:rPr>
          <w:rFonts w:cs="Times New Roman"/>
          <w:iCs/>
        </w:rPr>
        <w:t>«31 dicembre 2021»</w:t>
      </w:r>
      <w:r w:rsidRPr="00EC14DE">
        <w:rPr>
          <w:rFonts w:cs="Times New Roman"/>
        </w:rPr>
        <w:t xml:space="preserve"> sono sostituite dalle seguenti: «</w:t>
      </w:r>
      <w:r w:rsidRPr="00EC14DE">
        <w:rPr>
          <w:rFonts w:cs="Times New Roman"/>
          <w:iCs/>
        </w:rPr>
        <w:t>30 giugno 2022»;</w:t>
      </w:r>
    </w:p>
    <w:p w14:paraId="5C362EF1" w14:textId="77777777" w:rsidR="00F52296" w:rsidRPr="00EC14DE" w:rsidRDefault="00F52296"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(Garanzia green)</w:t>
      </w:r>
    </w:p>
    <w:p w14:paraId="25B3BA81" w14:textId="77777777" w:rsidR="00F52296" w:rsidRPr="00EC14DE" w:rsidRDefault="00F52296" w:rsidP="007C594F">
      <w:pPr>
        <w:widowControl w:val="0"/>
        <w:tabs>
          <w:tab w:val="left" w:pos="1785"/>
        </w:tabs>
        <w:rPr>
          <w:rFonts w:cs="Times New Roman"/>
          <w:i/>
          <w:iCs/>
        </w:rPr>
      </w:pPr>
      <w:r w:rsidRPr="00EC14DE">
        <w:rPr>
          <w:rFonts w:cs="Times New Roman"/>
        </w:rPr>
        <w:t xml:space="preserve">1. All’articolo 64, comma 5, </w:t>
      </w:r>
      <w:r w:rsidR="009A1DC3" w:rsidRPr="00EC14DE">
        <w:rPr>
          <w:rFonts w:cs="Times New Roman"/>
        </w:rPr>
        <w:t xml:space="preserve">del </w:t>
      </w:r>
      <w:r w:rsidRPr="00EC14DE">
        <w:rPr>
          <w:rFonts w:cs="Times New Roman"/>
        </w:rPr>
        <w:t>decreto-legge 16 luglio 2020,</w:t>
      </w:r>
      <w:r w:rsidR="005528C8" w:rsidRPr="00EC14DE">
        <w:rPr>
          <w:rFonts w:cs="Times New Roman"/>
        </w:rPr>
        <w:t xml:space="preserve"> n. 76,</w:t>
      </w:r>
      <w:r w:rsidRPr="00EC14DE">
        <w:rPr>
          <w:rFonts w:cs="Times New Roman"/>
        </w:rPr>
        <w:t xml:space="preserve"> convert</w:t>
      </w:r>
      <w:r w:rsidR="009A1DC3" w:rsidRPr="00EC14DE">
        <w:rPr>
          <w:rFonts w:cs="Times New Roman"/>
        </w:rPr>
        <w:t xml:space="preserve">ito, </w:t>
      </w:r>
      <w:r w:rsidRPr="00EC14DE">
        <w:rPr>
          <w:rFonts w:cs="Times New Roman"/>
        </w:rPr>
        <w:t>con modificazioni</w:t>
      </w:r>
      <w:r w:rsidR="009A1DC3" w:rsidRPr="00EC14DE">
        <w:rPr>
          <w:rFonts w:cs="Times New Roman"/>
        </w:rPr>
        <w:t>,</w:t>
      </w:r>
      <w:r w:rsidRPr="00EC14DE">
        <w:rPr>
          <w:rFonts w:cs="Times New Roman"/>
        </w:rPr>
        <w:t xml:space="preserve"> dalla </w:t>
      </w:r>
      <w:r w:rsidR="005036BF" w:rsidRPr="00EC14DE">
        <w:rPr>
          <w:rFonts w:cs="Times New Roman"/>
        </w:rPr>
        <w:t>legge</w:t>
      </w:r>
      <w:r w:rsidRPr="00EC14DE">
        <w:rPr>
          <w:rFonts w:cs="Times New Roman"/>
        </w:rPr>
        <w:t xml:space="preserve"> 11 settembre 2020, n. 120, l’ultimo periodo è sostituito dal seguente</w:t>
      </w:r>
      <w:r w:rsidRPr="00EC14DE">
        <w:rPr>
          <w:rFonts w:cs="Times New Roman"/>
          <w:iCs/>
        </w:rPr>
        <w:t>: “Per gli esercizi successivi, le risorse del predetto fondo destinate alla copertura delle garanzie concesse da SACE S.p.A. sono determinate con la legge di bilancio, tenuto conto dei limiti di impegno definiti ai sensi del comma 2</w:t>
      </w:r>
      <w:r w:rsidR="005036BF" w:rsidRPr="00EC14DE">
        <w:rPr>
          <w:rFonts w:cs="Times New Roman"/>
          <w:iCs/>
        </w:rPr>
        <w:t>.</w:t>
      </w:r>
      <w:r w:rsidRPr="00EC14DE">
        <w:rPr>
          <w:rFonts w:cs="Times New Roman"/>
          <w:iCs/>
        </w:rPr>
        <w:t>”.</w:t>
      </w:r>
    </w:p>
    <w:p w14:paraId="7B06B05D" w14:textId="77777777" w:rsidR="00F52296" w:rsidRPr="00EC14DE" w:rsidRDefault="00F52296" w:rsidP="007C594F">
      <w:pPr>
        <w:widowControl w:val="0"/>
        <w:tabs>
          <w:tab w:val="left" w:pos="1785"/>
        </w:tabs>
        <w:rPr>
          <w:rFonts w:cs="Times New Roman"/>
        </w:rPr>
      </w:pPr>
      <w:r w:rsidRPr="00EC14DE">
        <w:rPr>
          <w:rFonts w:cs="Times New Roman"/>
        </w:rPr>
        <w:t xml:space="preserve">2. Ai sensi e per gli effetti dell’articolo 64, commi 2 e 5, del decreto-legge 16 luglio 2020, n. 76, convertito, con modificazioni, dalla legge 11 settembre 2020, n.120, per l’anno 2022, le risorse disponibili sul fondo di cui all'articolo 1, comma 85, della legge 27 dicembre 2019, n. 160, sono destinate alla copertura delle garanzie di cui al medesimo articolo 64 nella misura di </w:t>
      </w:r>
      <w:r w:rsidR="00E903FB" w:rsidRPr="00EC14DE">
        <w:rPr>
          <w:rFonts w:cs="Times New Roman"/>
          <w:bCs/>
        </w:rPr>
        <w:t>565</w:t>
      </w:r>
      <w:r w:rsidRPr="00EC14DE">
        <w:rPr>
          <w:rFonts w:cs="Times New Roman"/>
        </w:rPr>
        <w:t xml:space="preserve"> milioni di euro, per un impegno massimo assumibile dalla SACE S.p.A. pari a </w:t>
      </w:r>
      <w:r w:rsidRPr="00EC14DE">
        <w:rPr>
          <w:rFonts w:cs="Times New Roman"/>
          <w:bCs/>
        </w:rPr>
        <w:t>3.000</w:t>
      </w:r>
      <w:r w:rsidR="00E903FB" w:rsidRPr="00EC14DE">
        <w:rPr>
          <w:rFonts w:cs="Times New Roman"/>
          <w:bCs/>
        </w:rPr>
        <w:t xml:space="preserve"> </w:t>
      </w:r>
      <w:r w:rsidRPr="00EC14DE">
        <w:rPr>
          <w:rFonts w:cs="Times New Roman"/>
        </w:rPr>
        <w:t>milioni di euro</w:t>
      </w:r>
      <w:r w:rsidR="005036BF" w:rsidRPr="00EC14DE">
        <w:rPr>
          <w:rFonts w:cs="Times New Roman"/>
        </w:rPr>
        <w:t>.</w:t>
      </w:r>
    </w:p>
    <w:p w14:paraId="4AA8E741" w14:textId="77777777" w:rsidR="00F52296" w:rsidRPr="00EC14DE" w:rsidRDefault="00F52296"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(Proroga dell’operatività straordinaria del fondo Gasparrini)</w:t>
      </w:r>
    </w:p>
    <w:p w14:paraId="4CBC9209" w14:textId="77777777" w:rsidR="00F52296" w:rsidRPr="00EC14DE" w:rsidRDefault="00F52296" w:rsidP="007C594F">
      <w:pPr>
        <w:widowControl w:val="0"/>
        <w:contextualSpacing/>
        <w:rPr>
          <w:rFonts w:cs="Times New Roman"/>
          <w:szCs w:val="24"/>
        </w:rPr>
      </w:pPr>
      <w:r w:rsidRPr="00EC14DE">
        <w:rPr>
          <w:rFonts w:cs="Times New Roman"/>
          <w:szCs w:val="24"/>
        </w:rPr>
        <w:t>1. All'articolo 64, comma 1, del decreto-legge 25 maggio 2021, n. 73, convertito</w:t>
      </w:r>
      <w:r w:rsidR="007804AF" w:rsidRPr="00EC14DE">
        <w:rPr>
          <w:rFonts w:cs="Times New Roman"/>
          <w:szCs w:val="24"/>
        </w:rPr>
        <w:t>,</w:t>
      </w:r>
      <w:r w:rsidRPr="00EC14DE">
        <w:rPr>
          <w:rFonts w:cs="Times New Roman"/>
          <w:szCs w:val="24"/>
        </w:rPr>
        <w:t xml:space="preserve"> con modificazioni</w:t>
      </w:r>
      <w:r w:rsidR="007804AF" w:rsidRPr="00EC14DE">
        <w:rPr>
          <w:rFonts w:cs="Times New Roman"/>
          <w:szCs w:val="24"/>
        </w:rPr>
        <w:t>,</w:t>
      </w:r>
      <w:r w:rsidRPr="00EC14DE">
        <w:rPr>
          <w:rFonts w:cs="Times New Roman"/>
          <w:szCs w:val="24"/>
        </w:rPr>
        <w:t xml:space="preserve"> dalla legge 23 luglio 2021, n. 106, le parole “fino al 31 dicembre 2021” sono sostituite dalle seguenti: “fino al 31 dicembre 2022”.</w:t>
      </w:r>
    </w:p>
    <w:p w14:paraId="793B52E9" w14:textId="77777777" w:rsidR="00314694" w:rsidRPr="00EC14DE" w:rsidRDefault="00314694"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(Modifiche agli incentivi per le aggregazioni tra imprese)</w:t>
      </w:r>
    </w:p>
    <w:p w14:paraId="73E8A735" w14:textId="77777777" w:rsidR="00314694" w:rsidRPr="00EC14DE" w:rsidRDefault="00314694" w:rsidP="007C594F">
      <w:pPr>
        <w:widowControl w:val="0"/>
        <w:rPr>
          <w:rFonts w:cs="Times New Roman"/>
        </w:rPr>
      </w:pPr>
      <w:r w:rsidRPr="00EC14DE">
        <w:rPr>
          <w:rFonts w:cs="Times New Roman"/>
        </w:rPr>
        <w:t>1. All’articolo 1 della</w:t>
      </w:r>
      <w:r w:rsidR="009A1DC3" w:rsidRPr="00EC14DE">
        <w:rPr>
          <w:rFonts w:cs="Times New Roman"/>
        </w:rPr>
        <w:t xml:space="preserve"> legge 30 dicembre 2020, n. 178, sono apportate le seguenti modificazioni:</w:t>
      </w:r>
    </w:p>
    <w:p w14:paraId="3F63921E" w14:textId="77777777" w:rsidR="00FF1F45" w:rsidRPr="00EC14DE" w:rsidRDefault="00FB2E15" w:rsidP="007C594F">
      <w:pPr>
        <w:widowControl w:val="0"/>
        <w:rPr>
          <w:rFonts w:cs="Times New Roman"/>
        </w:rPr>
      </w:pPr>
      <w:r w:rsidRPr="00EC14DE">
        <w:rPr>
          <w:rFonts w:cs="Times New Roman"/>
        </w:rPr>
        <w:t xml:space="preserve">a) </w:t>
      </w:r>
      <w:r w:rsidR="00FF1F45" w:rsidRPr="00EC14DE">
        <w:rPr>
          <w:rFonts w:cs="Times New Roman"/>
        </w:rPr>
        <w:t xml:space="preserve">al comma 234, il primo periodo è sostituito dal seguente: “La trasformazione in credito d'imposta avviene, per un quarto, alla data di efficacia giuridica delle operazioni di cui al comma 233 e, per i restanti tre quarti, al primo giorno dell'esercizio successivo a quello in corso alla data di efficacia giuridica delle operazioni di cui al comma 233 per un ammontare complessivo non superiore al minore importo tra </w:t>
      </w:r>
      <w:r w:rsidR="00C33106" w:rsidRPr="00EC14DE">
        <w:t xml:space="preserve">500 milioni di euro </w:t>
      </w:r>
      <w:r w:rsidR="00FF1F45" w:rsidRPr="00EC14DE">
        <w:rPr>
          <w:rFonts w:cs="Times New Roman"/>
        </w:rPr>
        <w:t xml:space="preserve">e il 2 per cento della somma delle </w:t>
      </w:r>
      <w:r w:rsidRPr="00EC14DE">
        <w:rPr>
          <w:rFonts w:cs="Times New Roman"/>
        </w:rPr>
        <w:t>attività</w:t>
      </w:r>
      <w:r w:rsidR="00FF1F45" w:rsidRPr="00EC14DE">
        <w:rPr>
          <w:rFonts w:cs="Times New Roman"/>
        </w:rPr>
        <w:t xml:space="preserve"> dei soggetti partecipanti alla fusione o alla scissione, come risultanti dalla situazione patrimoniale di cui all'articolo 2501-quater del codice civile, senza considerare il soggetto che presenta le </w:t>
      </w:r>
      <w:r w:rsidRPr="00EC14DE">
        <w:rPr>
          <w:rFonts w:cs="Times New Roman"/>
        </w:rPr>
        <w:t>attività</w:t>
      </w:r>
      <w:r w:rsidR="00FF1F45" w:rsidRPr="00EC14DE">
        <w:rPr>
          <w:rFonts w:cs="Times New Roman"/>
        </w:rPr>
        <w:t xml:space="preserve"> di importo maggiore, ovvero il 2 per cento della somma delle </w:t>
      </w:r>
      <w:r w:rsidRPr="00EC14DE">
        <w:rPr>
          <w:rFonts w:cs="Times New Roman"/>
        </w:rPr>
        <w:t>attività</w:t>
      </w:r>
      <w:r w:rsidR="00FF1F45" w:rsidRPr="00EC14DE">
        <w:rPr>
          <w:rFonts w:cs="Times New Roman"/>
        </w:rPr>
        <w:t xml:space="preserve"> oggetto di conferimento. In caso di aggregazioni realizzate mediante conferimento d'azienda, i componenti di cui al comma 233 del conferitario rilevano ai fini della trasformazione negli stessi limiti e alle stesse condizioni previsti per le perdite che possono essere portate in diminuzione del reddito della </w:t>
      </w:r>
      <w:r w:rsidRPr="00EC14DE">
        <w:rPr>
          <w:rFonts w:cs="Times New Roman"/>
        </w:rPr>
        <w:t>società</w:t>
      </w:r>
      <w:r w:rsidR="00FF1F45" w:rsidRPr="00EC14DE">
        <w:rPr>
          <w:rFonts w:cs="Times New Roman"/>
        </w:rPr>
        <w:t xml:space="preserve"> risultante dalla fusione o incorporante di cui al comma 7 dell'articolo 172 del testo unico delle imposte sui redditi, di cui al decreto del Presidente della Repubblica 22 dicembre 1986, n. 917; a tal fine, </w:t>
      </w:r>
      <w:r w:rsidRPr="00EC14DE">
        <w:rPr>
          <w:rFonts w:cs="Times New Roman"/>
        </w:rPr>
        <w:t>è</w:t>
      </w:r>
      <w:r w:rsidR="00FF1F45" w:rsidRPr="00EC14DE">
        <w:rPr>
          <w:rFonts w:cs="Times New Roman"/>
        </w:rPr>
        <w:t xml:space="preserve"> obbligatoria la redazione della situazione patrimoniale ai sensi dell'articolo 2501-quater, commi primo e secondo, del codice civile.”</w:t>
      </w:r>
      <w:r w:rsidR="009A1DC3" w:rsidRPr="00EC14DE">
        <w:rPr>
          <w:rFonts w:cs="Times New Roman"/>
        </w:rPr>
        <w:t>;</w:t>
      </w:r>
    </w:p>
    <w:p w14:paraId="69E95818" w14:textId="77777777" w:rsidR="00FF1F45" w:rsidRPr="00EC14DE" w:rsidRDefault="00FB2E15" w:rsidP="007C594F">
      <w:pPr>
        <w:widowControl w:val="0"/>
        <w:rPr>
          <w:rFonts w:cs="Times New Roman"/>
        </w:rPr>
      </w:pPr>
      <w:r w:rsidRPr="00EC14DE">
        <w:rPr>
          <w:rFonts w:cs="Times New Roman"/>
        </w:rPr>
        <w:t xml:space="preserve">b) </w:t>
      </w:r>
      <w:r w:rsidR="00FF1F45" w:rsidRPr="00EC14DE">
        <w:rPr>
          <w:rFonts w:cs="Times New Roman"/>
        </w:rPr>
        <w:t>al comma 234, dopo il primo periodo è inserito il seguente: “Se alle operazioni di cui al comma 233 partecipano società controllanti capogruppo tenute a redigere il bilancio consolidato secondo i principi contabili ad esse applicabili, ai fini del periodo precedente per tali società si considerano le attività risultanti dall’ultimo bilancio consolidato disponibile.”;</w:t>
      </w:r>
    </w:p>
    <w:p w14:paraId="37E590B2" w14:textId="77777777" w:rsidR="00FB2E15" w:rsidRPr="00EC14DE" w:rsidRDefault="00FB2E15" w:rsidP="007C594F">
      <w:pPr>
        <w:widowControl w:val="0"/>
        <w:rPr>
          <w:rFonts w:cs="Times New Roman"/>
        </w:rPr>
      </w:pPr>
      <w:r w:rsidRPr="00EC14DE">
        <w:rPr>
          <w:rFonts w:cs="Times New Roman"/>
        </w:rPr>
        <w:t xml:space="preserve">c) </w:t>
      </w:r>
      <w:r w:rsidR="00FF1F45" w:rsidRPr="00EC14DE">
        <w:rPr>
          <w:rFonts w:cs="Times New Roman"/>
        </w:rPr>
        <w:t>al comma 235 le parole: “</w:t>
      </w:r>
      <w:r w:rsidR="00FF1F45" w:rsidRPr="00EC14DE">
        <w:rPr>
          <w:rFonts w:cs="Times New Roman"/>
          <w:iCs/>
        </w:rPr>
        <w:t>a seguire, le perdite trasferite al soggetto controllante e non ancora computate in diminuzione del reddito imponibile da parte dello stesso</w:t>
      </w:r>
      <w:r w:rsidR="00FF1F45" w:rsidRPr="00EC14DE">
        <w:rPr>
          <w:rFonts w:cs="Times New Roman"/>
        </w:rPr>
        <w:t>” sono sostituite dalle seguenti “</w:t>
      </w:r>
      <w:r w:rsidR="00FF1F45" w:rsidRPr="00EC14DE">
        <w:rPr>
          <w:rFonts w:cs="Times New Roman"/>
          <w:iCs/>
        </w:rPr>
        <w:t>a seguire, le perdite complessivamente riportate a nuovo dal soggetto controllante ai sensi dell’articolo 118 del medesimo testo unico</w:t>
      </w:r>
      <w:r w:rsidRPr="00EC14DE">
        <w:rPr>
          <w:rFonts w:cs="Times New Roman"/>
        </w:rPr>
        <w:t>”;</w:t>
      </w:r>
    </w:p>
    <w:p w14:paraId="7CECDFCA" w14:textId="77777777" w:rsidR="00FF1F45" w:rsidRPr="00EC14DE" w:rsidRDefault="00FB2E15" w:rsidP="007C594F">
      <w:pPr>
        <w:widowControl w:val="0"/>
        <w:rPr>
          <w:rFonts w:cs="Times New Roman"/>
        </w:rPr>
      </w:pPr>
      <w:r w:rsidRPr="00EC14DE">
        <w:rPr>
          <w:rFonts w:cs="Times New Roman"/>
        </w:rPr>
        <w:t xml:space="preserve">d) </w:t>
      </w:r>
      <w:r w:rsidR="00FF1F45" w:rsidRPr="00EC14DE">
        <w:rPr>
          <w:rFonts w:cs="Times New Roman"/>
        </w:rPr>
        <w:t>al comma 238, le parole: “entro un anno” sono so</w:t>
      </w:r>
      <w:r w:rsidR="007804AF" w:rsidRPr="00EC14DE">
        <w:rPr>
          <w:rFonts w:cs="Times New Roman"/>
        </w:rPr>
        <w:t>stituite dalle seguenti</w:t>
      </w:r>
      <w:r w:rsidR="00FF1F45" w:rsidRPr="00EC14DE">
        <w:rPr>
          <w:rFonts w:cs="Times New Roman"/>
        </w:rPr>
        <w:t xml:space="preserve"> “</w:t>
      </w:r>
      <w:r w:rsidR="009A5328" w:rsidRPr="00EC14DE">
        <w:rPr>
          <w:rFonts w:cs="Times New Roman"/>
        </w:rPr>
        <w:t>entro due anni”;</w:t>
      </w:r>
    </w:p>
    <w:p w14:paraId="26525480" w14:textId="77777777" w:rsidR="00FF1F45" w:rsidRPr="00EC14DE" w:rsidRDefault="00FB2E15" w:rsidP="007C594F">
      <w:pPr>
        <w:widowControl w:val="0"/>
        <w:rPr>
          <w:rFonts w:cs="Times New Roman"/>
        </w:rPr>
      </w:pPr>
      <w:r w:rsidRPr="00EC14DE">
        <w:rPr>
          <w:rFonts w:cs="Times New Roman"/>
          <w:iCs/>
        </w:rPr>
        <w:t xml:space="preserve">e) </w:t>
      </w:r>
      <w:r w:rsidR="00FF1F45" w:rsidRPr="00EC14DE">
        <w:rPr>
          <w:rFonts w:cs="Times New Roman"/>
          <w:iCs/>
        </w:rPr>
        <w:t xml:space="preserve">ai commi 233 e 238 le parole “31 dicembre 2021” sono sostituite </w:t>
      </w:r>
      <w:r w:rsidR="007804AF" w:rsidRPr="00EC14DE">
        <w:rPr>
          <w:rFonts w:cs="Times New Roman"/>
          <w:iCs/>
        </w:rPr>
        <w:t>dalle seguenti “30 giugno 2022”.</w:t>
      </w:r>
    </w:p>
    <w:p w14:paraId="3F807FC0" w14:textId="77777777" w:rsidR="00314694" w:rsidRPr="00EC14DE" w:rsidRDefault="00FF1F45" w:rsidP="007C594F">
      <w:pPr>
        <w:widowControl w:val="0"/>
        <w:rPr>
          <w:rFonts w:cs="Times New Roman"/>
        </w:rPr>
      </w:pPr>
      <w:r w:rsidRPr="00EC14DE">
        <w:rPr>
          <w:rFonts w:cs="Times New Roman"/>
        </w:rPr>
        <w:t>2. All’articolo 11, commi 1 e 2, del decreto-legge 30 aprile 2019, n. 34, convertito, con modificazioni,</w:t>
      </w:r>
      <w:r w:rsidR="007804AF" w:rsidRPr="00EC14DE">
        <w:rPr>
          <w:rFonts w:cs="Times New Roman"/>
        </w:rPr>
        <w:t xml:space="preserve"> dalla legge 28 giugno 2019, n. </w:t>
      </w:r>
      <w:r w:rsidRPr="00EC14DE">
        <w:rPr>
          <w:rFonts w:cs="Times New Roman"/>
        </w:rPr>
        <w:t>58, le parole “</w:t>
      </w:r>
      <w:r w:rsidRPr="00EC14DE">
        <w:rPr>
          <w:rFonts w:cs="Times New Roman"/>
          <w:iCs/>
        </w:rPr>
        <w:t>31 dicembre 2022</w:t>
      </w:r>
      <w:r w:rsidRPr="00EC14DE">
        <w:rPr>
          <w:rFonts w:cs="Times New Roman"/>
        </w:rPr>
        <w:t>” sono sostituite dalle seguenti parole “</w:t>
      </w:r>
      <w:r w:rsidRPr="00EC14DE">
        <w:rPr>
          <w:rFonts w:cs="Times New Roman"/>
          <w:iCs/>
        </w:rPr>
        <w:t>31 dicembre 2021</w:t>
      </w:r>
      <w:r w:rsidRPr="00EC14DE">
        <w:rPr>
          <w:rFonts w:cs="Times New Roman"/>
        </w:rPr>
        <w:t>”.</w:t>
      </w:r>
    </w:p>
    <w:p w14:paraId="3FB1CD01" w14:textId="77777777" w:rsidR="00DC6C8C" w:rsidRPr="00EC14DE" w:rsidRDefault="00DC6C8C"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(Incremento del limite annuo dei crediti d’imposta e dei contributi compensabili ovvero rimborsabili ai soggetti intestatari di conto fiscale) </w:t>
      </w:r>
    </w:p>
    <w:p w14:paraId="23127A8E" w14:textId="77777777" w:rsidR="00DC6C8C" w:rsidRPr="00EC14DE" w:rsidRDefault="00DC6C8C" w:rsidP="007C594F">
      <w:pPr>
        <w:widowControl w:val="0"/>
        <w:rPr>
          <w:rFonts w:cs="Times New Roman"/>
          <w:iCs/>
        </w:rPr>
      </w:pPr>
      <w:r w:rsidRPr="00EC14DE">
        <w:rPr>
          <w:rFonts w:cs="Times New Roman"/>
          <w:iCs/>
        </w:rPr>
        <w:t>1. A decorrere dal 1° gennaio 2022, il limite previsto dall'articolo 34, comma 1, primo periodo, della legge 23 dicembre 2000, n. 388, è elevato a 2 milioni di euro.</w:t>
      </w:r>
    </w:p>
    <w:p w14:paraId="16F44F3D" w14:textId="77777777" w:rsidR="00DC6C8C" w:rsidRPr="00EC14DE" w:rsidRDefault="00DC6C8C" w:rsidP="007C594F">
      <w:pPr>
        <w:widowControl w:val="0"/>
        <w:rPr>
          <w:rFonts w:cs="Times New Roman"/>
          <w:iCs/>
        </w:rPr>
      </w:pPr>
    </w:p>
    <w:p w14:paraId="35908CBC" w14:textId="77777777" w:rsidR="00D00382" w:rsidRPr="00EC14DE" w:rsidRDefault="00D00382" w:rsidP="007C594F">
      <w:pPr>
        <w:widowControl w:val="0"/>
        <w:spacing w:after="160" w:line="259" w:lineRule="auto"/>
        <w:jc w:val="left"/>
        <w:rPr>
          <w:rFonts w:eastAsiaTheme="majorEastAsia" w:cstheme="majorBidi"/>
          <w:b/>
          <w:sz w:val="24"/>
          <w:szCs w:val="32"/>
        </w:rPr>
      </w:pPr>
      <w:r w:rsidRPr="00EC14DE">
        <w:br w:type="page"/>
      </w:r>
    </w:p>
    <w:p w14:paraId="0573DD45" w14:textId="77777777" w:rsidR="00E102F6" w:rsidRPr="00EC14DE" w:rsidRDefault="003A4CD3" w:rsidP="007C594F">
      <w:pPr>
        <w:pStyle w:val="Titolo1"/>
        <w:keepNext w:val="0"/>
        <w:keepLines w:val="0"/>
        <w:widowControl w:val="0"/>
      </w:pPr>
      <w:r w:rsidRPr="00EC14DE">
        <w:t xml:space="preserve">Titolo </w:t>
      </w:r>
      <w:r w:rsidR="00B311CA" w:rsidRPr="00EC14DE">
        <w:t>I</w:t>
      </w:r>
      <w:r w:rsidRPr="00EC14DE">
        <w:t>V</w:t>
      </w:r>
      <w:r w:rsidRPr="00EC14DE">
        <w:br/>
        <w:t>Lavoro, famiglia e politiche sociali</w:t>
      </w:r>
    </w:p>
    <w:p w14:paraId="48FC52CB" w14:textId="77777777" w:rsidR="00E102F6" w:rsidRPr="00EC14DE" w:rsidRDefault="00730D01" w:rsidP="007C594F">
      <w:pPr>
        <w:pStyle w:val="Titolo1"/>
        <w:keepNext w:val="0"/>
        <w:keepLines w:val="0"/>
        <w:widowControl w:val="0"/>
      </w:pPr>
      <w:r w:rsidRPr="00EC14DE">
        <w:t>Capo I</w:t>
      </w:r>
      <w:r w:rsidR="008309A7" w:rsidRPr="00EC14DE">
        <w:br/>
      </w:r>
      <w:r w:rsidR="00E102F6" w:rsidRPr="00EC14DE">
        <w:t>Riordino della disciplina del reddito di cittadinanza</w:t>
      </w:r>
    </w:p>
    <w:p w14:paraId="13010E77" w14:textId="77777777" w:rsidR="002B58FF" w:rsidRPr="00EC14DE" w:rsidRDefault="002B58FF" w:rsidP="007C594F">
      <w:pPr>
        <w:pStyle w:val="Titolo3"/>
        <w:keepNext w:val="0"/>
        <w:keepLines w:val="0"/>
        <w:widowControl w:val="0"/>
        <w:rPr>
          <w:rFonts w:cs="Times New Roman"/>
          <w:szCs w:val="22"/>
        </w:rPr>
      </w:pPr>
      <w:r w:rsidRPr="00EC14DE">
        <w:t xml:space="preserve">ART. </w:t>
      </w:r>
      <w:r w:rsidRPr="00EC14DE">
        <w:fldChar w:fldCharType="begin"/>
      </w:r>
      <w:r w:rsidRPr="00EC14DE">
        <w:instrText xml:space="preserve"> AUTONUM  \* Arabic </w:instrText>
      </w:r>
      <w:r w:rsidRPr="00EC14DE">
        <w:fldChar w:fldCharType="end"/>
      </w:r>
      <w:r w:rsidRPr="00EC14DE">
        <w:br/>
      </w:r>
      <w:r w:rsidR="006F38AC" w:rsidRPr="00EC14DE">
        <w:rPr>
          <w:rFonts w:cs="Times New Roman"/>
          <w:szCs w:val="22"/>
        </w:rPr>
        <w:t>(Rifinanziamento reddito di cittadinanza)</w:t>
      </w:r>
    </w:p>
    <w:p w14:paraId="2A94A11B" w14:textId="77777777" w:rsidR="002B58FF" w:rsidRPr="00EC14DE" w:rsidRDefault="002B58FF" w:rsidP="007C594F">
      <w:pPr>
        <w:widowControl w:val="0"/>
        <w:rPr>
          <w:rFonts w:eastAsia="Times New Roman" w:cs="Times New Roman"/>
          <w:b/>
          <w:lang w:eastAsia="it-IT"/>
        </w:rPr>
      </w:pPr>
      <w:r w:rsidRPr="00EC14DE">
        <w:rPr>
          <w:rFonts w:eastAsia="Times New Roman" w:cs="Times New Roman"/>
          <w:lang w:eastAsia="it-IT"/>
        </w:rPr>
        <w:t xml:space="preserve">1. L'autorizzazione di spesa di cui all'articolo 12, comma 1, del decreto-legge 28 gennaio 2019, n. 4, convertito,  con modificazioni, dalla legge 28 marzo 2019, n. 26, è incrementata di 1.065,3 milioni di euro per l’anno 2022, 1.064,9 milioni di euro per l’anno 2023, 1.064,4 milioni di euro per l’anno 2024, 1.063,5  milioni di euro annui per l’anno 2025, 1.062,8 milioni di euro per l’anno 2026, 1.062,3 milioni di euro per l’anno 2027, 1.061,5 milioni di euro per l’anno 2028, 1.061,7 milioni di euro annui a decorrere dall’anno 2029. </w:t>
      </w:r>
    </w:p>
    <w:p w14:paraId="22F5534A" w14:textId="77777777" w:rsidR="00FC4595" w:rsidRPr="00EC14DE" w:rsidRDefault="00FC4595" w:rsidP="00FC4595">
      <w:pPr>
        <w:pStyle w:val="Titolo3"/>
        <w:keepNext w:val="0"/>
        <w:rPr>
          <w:rFonts w:eastAsia="Times New Roman" w:cs="Times New Roman"/>
          <w:szCs w:val="22"/>
        </w:rPr>
      </w:pPr>
      <w:bookmarkStart w:id="9" w:name="_Toc86412110"/>
      <w:r w:rsidRPr="009B28A6">
        <w:rPr>
          <w:rFonts w:cs="Times New Roman"/>
          <w:szCs w:val="22"/>
          <w:highlight w:val="yellow"/>
        </w:rPr>
        <w:t xml:space="preserve">ART. </w:t>
      </w:r>
      <w:r w:rsidRPr="009B28A6">
        <w:rPr>
          <w:rFonts w:cs="Times New Roman"/>
          <w:szCs w:val="22"/>
          <w:highlight w:val="yellow"/>
        </w:rPr>
        <w:fldChar w:fldCharType="begin"/>
      </w:r>
      <w:r w:rsidRPr="009B28A6">
        <w:rPr>
          <w:rFonts w:cs="Times New Roman"/>
          <w:szCs w:val="22"/>
          <w:highlight w:val="yellow"/>
        </w:rPr>
        <w:instrText xml:space="preserve"> AUTONUM  \* Arabic </w:instrText>
      </w:r>
      <w:r w:rsidRPr="009B28A6">
        <w:rPr>
          <w:rFonts w:cs="Times New Roman"/>
          <w:szCs w:val="22"/>
          <w:highlight w:val="yellow"/>
        </w:rPr>
        <w:fldChar w:fldCharType="end"/>
      </w:r>
      <w:r w:rsidRPr="009B28A6">
        <w:rPr>
          <w:rFonts w:eastAsia="Times New Roman" w:cs="Times New Roman"/>
          <w:szCs w:val="22"/>
          <w:highlight w:val="yellow"/>
        </w:rPr>
        <w:br/>
        <w:t>(Disposizioni in materia di reddito di cittadinanza)</w:t>
      </w:r>
      <w:bookmarkEnd w:id="9"/>
      <w:r w:rsidRPr="00EC14DE">
        <w:rPr>
          <w:rFonts w:eastAsia="Times New Roman" w:cs="Times New Roman"/>
          <w:szCs w:val="22"/>
        </w:rPr>
        <w:t xml:space="preserve"> </w:t>
      </w:r>
    </w:p>
    <w:p w14:paraId="3889067D" w14:textId="77777777" w:rsidR="00D1051E" w:rsidRPr="00EC14DE" w:rsidRDefault="00D1051E" w:rsidP="00D1051E">
      <w:r w:rsidRPr="00EC14DE">
        <w:t>1. Al decreto-legge 28 gennaio 2019, n. 4, convertito, con modificazioni, dalla legge 28 marzo 2019, n. 26, sono apportate le seguenti modificazioni:</w:t>
      </w:r>
    </w:p>
    <w:p w14:paraId="7BCAC39F" w14:textId="77777777" w:rsidR="00D1051E" w:rsidRPr="00EC14DE" w:rsidRDefault="00D1051E" w:rsidP="00D1051E">
      <w:r w:rsidRPr="00EC14DE">
        <w:t>a) all’articolo 2, dopo il comma 1-ter, è aggiunto il seguente: “1-quater. Con riferimento ai requisiti patrimoniali di cui al comma 1, con specifico riferimento ai beni detenuti all'estero, l’INPS provvede a definire annualmente, entro il 31 marzo, un piano di verifiche dei requisiti patrimoniali dichiarati nella dichiarazione sostitutiva unica di cui all'articolo 10 del decreto del Presidente del Consiglio del Ministri 5 dicembre 2013, n. 159, anche ai fini della verifica dei requisiti per il Rd</w:t>
      </w:r>
      <w:r w:rsidR="00535AE4" w:rsidRPr="00EC14DE">
        <w:t>c</w:t>
      </w:r>
      <w:r w:rsidRPr="00EC14DE">
        <w:t xml:space="preserve">. Il Piano di verifica, definito con la collaborazione del Ministero del lavoro e delle politiche sociali, dell'Agenzia delle entrate e col supporto della Guardia di finanza, ai sensi dell'articolo 11, comma 13, del decreto del Presidente del Consiglio dei Ministri n. 159 del 2013, e del Ministero degli affari esteri e della cooperazione internazionale, può prevedere </w:t>
      </w:r>
      <w:bookmarkStart w:id="10" w:name="_Hlk41916557"/>
      <w:r w:rsidRPr="00EC14DE">
        <w:t xml:space="preserve">anche lo scambio di dati con le competenti autorità dello Stato estero, sulla base di accordi </w:t>
      </w:r>
      <w:bookmarkEnd w:id="10"/>
      <w:r w:rsidRPr="00EC14DE">
        <w:t>bilaterali. Il Piano dei controlli è approvato con decreto del Ministro del lavoro e delle politiche sociali entro 60 giorni dalla presentazione.”;</w:t>
      </w:r>
    </w:p>
    <w:p w14:paraId="2CBF9F47" w14:textId="77777777" w:rsidR="00D1051E" w:rsidRPr="00EC14DE" w:rsidRDefault="00D1051E" w:rsidP="00D1051E">
      <w:r w:rsidRPr="00EC14DE">
        <w:t>b) all’articolo 3:</w:t>
      </w:r>
    </w:p>
    <w:p w14:paraId="4E4E2BA7" w14:textId="77777777" w:rsidR="00D1051E" w:rsidRPr="00EC14DE" w:rsidRDefault="00D1051E" w:rsidP="00D1051E">
      <w:pPr>
        <w:ind w:left="284"/>
      </w:pPr>
      <w:r w:rsidRPr="00EC14DE">
        <w:t>1) al comma 4, primo periodo, dopo le parole “n. 601” sono inserite le seguenti: “e si configura come sussidio di sostentamento a persone comprese nell'elenco dei poveri ai sensi dell’articolo 545 del codice di procedura civile”;</w:t>
      </w:r>
    </w:p>
    <w:p w14:paraId="27ED7CBD" w14:textId="77777777" w:rsidR="00D1051E" w:rsidRPr="00EC14DE" w:rsidRDefault="00D1051E" w:rsidP="00D1051E">
      <w:pPr>
        <w:ind w:left="284"/>
      </w:pPr>
      <w:r w:rsidRPr="00EC14DE">
        <w:t>2) al comma 9, le parole “trenta giorni dall’inizio” sono sostituite dalle seguenti: “il giorno antecedente all’inizio”.</w:t>
      </w:r>
    </w:p>
    <w:p w14:paraId="5CD714AF" w14:textId="77777777" w:rsidR="00D1051E" w:rsidRPr="00EC14DE" w:rsidRDefault="00D1051E" w:rsidP="00D1051E">
      <w:pPr>
        <w:pStyle w:val="Paragrafoelenco"/>
        <w:spacing w:line="240" w:lineRule="auto"/>
        <w:ind w:left="0"/>
        <w:jc w:val="both"/>
      </w:pPr>
      <w:r w:rsidRPr="00EC14DE">
        <w:rPr>
          <w:rFonts w:ascii="Times New Roman" w:hAnsi="Times New Roman" w:cs="Times New Roman"/>
        </w:rPr>
        <w:t>c) all’articolo 4:</w:t>
      </w:r>
    </w:p>
    <w:p w14:paraId="424155FD" w14:textId="77777777" w:rsidR="00D1051E" w:rsidRPr="00EC14DE" w:rsidRDefault="00D1051E" w:rsidP="00D1051E">
      <w:pPr>
        <w:pStyle w:val="Paragrafoelenco"/>
        <w:spacing w:line="240" w:lineRule="auto"/>
        <w:ind w:left="284"/>
        <w:jc w:val="both"/>
      </w:pPr>
      <w:r w:rsidRPr="00EC14DE">
        <w:rPr>
          <w:rFonts w:ascii="Times New Roman" w:hAnsi="Times New Roman" w:cs="Times New Roman"/>
        </w:rPr>
        <w:t>1) il comma 4 è sostituito dal</w:t>
      </w:r>
      <w:r w:rsidR="00535AE4" w:rsidRPr="00EC14DE">
        <w:rPr>
          <w:rFonts w:ascii="Times New Roman" w:hAnsi="Times New Roman" w:cs="Times New Roman"/>
        </w:rPr>
        <w:t xml:space="preserve"> seguente: “4. La domanda di Rdc</w:t>
      </w:r>
      <w:r w:rsidRPr="00EC14DE">
        <w:rPr>
          <w:rFonts w:ascii="Times New Roman" w:hAnsi="Times New Roman" w:cs="Times New Roman"/>
        </w:rPr>
        <w:t xml:space="preserve"> resa dall’interessato all’INPS per sé e tutti i componenti maggiorenni del nucleo, come definito dall’articolo 3 del decreto del Presidente del Consiglio dei ministri 5 dicembre 2013, n. 159, tenuti agli obblighi</w:t>
      </w:r>
      <w:r w:rsidR="00535AE4" w:rsidRPr="00EC14DE">
        <w:rPr>
          <w:rFonts w:ascii="Times New Roman" w:hAnsi="Times New Roman" w:cs="Times New Roman"/>
        </w:rPr>
        <w:t xml:space="preserve"> connessi alla fruizione del Rdc</w:t>
      </w:r>
      <w:r w:rsidRPr="00EC14DE">
        <w:rPr>
          <w:rFonts w:ascii="Times New Roman" w:hAnsi="Times New Roman" w:cs="Times New Roman"/>
        </w:rPr>
        <w:t>, ai sensi del comma 2, equivale a dichiarazione di immediata disponibilità al lavoro, ed è trasmessa dall’INPS all’ANPAL, ai fini dell’inserimento nel sistema informativo unitario delle politic</w:t>
      </w:r>
      <w:r w:rsidR="00535AE4" w:rsidRPr="00EC14DE">
        <w:rPr>
          <w:rFonts w:ascii="Times New Roman" w:hAnsi="Times New Roman" w:cs="Times New Roman"/>
        </w:rPr>
        <w:t>he del lavoro. La domanda di Rdc</w:t>
      </w:r>
      <w:r w:rsidRPr="00EC14DE">
        <w:rPr>
          <w:rFonts w:ascii="Times New Roman" w:hAnsi="Times New Roman" w:cs="Times New Roman"/>
        </w:rPr>
        <w:t xml:space="preserve"> che non contiene le dichiarazioni di immediata disponibilità al lavoro di cui al presente comma è improcedibile.”.</w:t>
      </w:r>
    </w:p>
    <w:p w14:paraId="5F8CB1A3" w14:textId="77777777" w:rsidR="00D1051E" w:rsidRPr="00EC14DE" w:rsidRDefault="00D1051E" w:rsidP="00D1051E">
      <w:pPr>
        <w:pStyle w:val="Paragrafoelenco"/>
        <w:spacing w:line="240" w:lineRule="auto"/>
        <w:ind w:left="284"/>
        <w:jc w:val="both"/>
        <w:rPr>
          <w:rFonts w:ascii="Times New Roman" w:hAnsi="Times New Roman" w:cs="Times New Roman"/>
          <w:bCs/>
        </w:rPr>
      </w:pPr>
      <w:r w:rsidRPr="00EC14DE">
        <w:rPr>
          <w:rFonts w:ascii="Times New Roman" w:hAnsi="Times New Roman" w:cs="Times New Roman"/>
        </w:rPr>
        <w:t>2)</w:t>
      </w:r>
      <w:r w:rsidRPr="00EC14DE">
        <w:rPr>
          <w:rFonts w:ascii="Times New Roman" w:hAnsi="Times New Roman" w:cs="Times New Roman"/>
          <w:bCs/>
        </w:rPr>
        <w:t xml:space="preserve"> al comma 6</w:t>
      </w:r>
      <w:r w:rsidRPr="00EC14DE">
        <w:rPr>
          <w:rFonts w:ascii="Times New Roman" w:hAnsi="Times New Roman" w:cs="Times New Roman"/>
          <w:b/>
          <w:bCs/>
        </w:rPr>
        <w:t xml:space="preserve"> </w:t>
      </w:r>
      <w:r w:rsidRPr="00EC14DE">
        <w:rPr>
          <w:rFonts w:ascii="Times New Roman" w:hAnsi="Times New Roman" w:cs="Times New Roman"/>
          <w:bCs/>
        </w:rPr>
        <w:t>il primo periodo è soppresso e</w:t>
      </w:r>
      <w:r w:rsidRPr="00EC14DE">
        <w:rPr>
          <w:rFonts w:ascii="Times New Roman" w:hAnsi="Times New Roman" w:cs="Times New Roman"/>
          <w:b/>
          <w:bCs/>
        </w:rPr>
        <w:t xml:space="preserve"> </w:t>
      </w:r>
      <w:r w:rsidRPr="00EC14DE">
        <w:rPr>
          <w:rFonts w:ascii="Times New Roman" w:hAnsi="Times New Roman" w:cs="Times New Roman"/>
          <w:bCs/>
        </w:rPr>
        <w:t>al secondo periodo, le parole “In tale sede” sono sostituite dalle seguenti: “In sede di primo incontro presso il centro per l’impiego”;</w:t>
      </w:r>
    </w:p>
    <w:p w14:paraId="3387952E" w14:textId="77777777" w:rsidR="00D1051E" w:rsidRPr="00EC14DE" w:rsidRDefault="00D1051E" w:rsidP="00D1051E">
      <w:pPr>
        <w:ind w:left="284"/>
      </w:pPr>
      <w:r w:rsidRPr="00EC14DE">
        <w:t>3) al comma 8, lettera b):</w:t>
      </w:r>
    </w:p>
    <w:p w14:paraId="7372CCD1" w14:textId="77777777" w:rsidR="00D1051E" w:rsidRPr="00EC14DE" w:rsidRDefault="00D1051E" w:rsidP="00D1051E">
      <w:pPr>
        <w:ind w:left="284"/>
        <w:rPr>
          <w:rFonts w:cs="Times New Roman"/>
        </w:rPr>
      </w:pPr>
      <w:r w:rsidRPr="00EC14DE">
        <w:rPr>
          <w:rFonts w:cs="Times New Roman"/>
        </w:rPr>
        <w:t>a) al numero 2), sono aggiunte, in fine, le parole “la ricerca attiva del lavoro è verificata presso il centro per l’impiego in presenza con frequenza almeno mensile; in caso di mancata presentazione senza comprovato giustificato motivo si applica la decadenza dal beneficio;</w:t>
      </w:r>
    </w:p>
    <w:p w14:paraId="1628563B" w14:textId="77777777" w:rsidR="00D1051E" w:rsidRPr="00EC14DE" w:rsidRDefault="00D1051E" w:rsidP="00D1051E">
      <w:pPr>
        <w:ind w:left="284"/>
        <w:rPr>
          <w:rFonts w:cs="Times New Roman"/>
        </w:rPr>
      </w:pPr>
      <w:r w:rsidRPr="00EC14DE">
        <w:rPr>
          <w:rFonts w:cs="Times New Roman"/>
        </w:rPr>
        <w:t>b) al numero 5), le parole “tre offerte” sono sostituite dalle seguenti: “due offerte”;</w:t>
      </w:r>
    </w:p>
    <w:p w14:paraId="2480C2EB" w14:textId="77777777" w:rsidR="00D1051E" w:rsidRPr="00EC14DE" w:rsidRDefault="00D1051E" w:rsidP="00D1051E">
      <w:pPr>
        <w:ind w:left="284"/>
        <w:rPr>
          <w:rFonts w:cs="Times New Roman"/>
        </w:rPr>
      </w:pPr>
      <w:r w:rsidRPr="00EC14DE">
        <w:rPr>
          <w:rFonts w:cs="Times New Roman"/>
        </w:rPr>
        <w:t>4) al comma 9, sono apportate le seguenti modificazioni:</w:t>
      </w:r>
    </w:p>
    <w:p w14:paraId="7AC26EA9" w14:textId="77777777" w:rsidR="00D1051E" w:rsidRPr="00EC14DE" w:rsidRDefault="00D1051E" w:rsidP="00D1051E">
      <w:pPr>
        <w:ind w:left="709"/>
        <w:rPr>
          <w:rFonts w:cs="Times New Roman"/>
        </w:rPr>
      </w:pPr>
      <w:r w:rsidRPr="00EC14DE">
        <w:rPr>
          <w:rFonts w:cs="Times New Roman"/>
        </w:rPr>
        <w:t>a) nell’alinea sono soppresse le parole “alla durata di fruizione del beneficio del Rd</w:t>
      </w:r>
      <w:r w:rsidR="00535AE4" w:rsidRPr="00EC14DE">
        <w:rPr>
          <w:rFonts w:cs="Times New Roman"/>
        </w:rPr>
        <w:t>c</w:t>
      </w:r>
      <w:r w:rsidRPr="00EC14DE">
        <w:rPr>
          <w:rFonts w:cs="Times New Roman"/>
        </w:rPr>
        <w:t xml:space="preserve"> e”;</w:t>
      </w:r>
    </w:p>
    <w:p w14:paraId="101C3991" w14:textId="77777777" w:rsidR="00D1051E" w:rsidRPr="00EC14DE" w:rsidRDefault="00D1051E" w:rsidP="00D1051E">
      <w:pPr>
        <w:ind w:left="709"/>
        <w:rPr>
          <w:rFonts w:cs="Times New Roman"/>
        </w:rPr>
      </w:pPr>
      <w:r w:rsidRPr="00EC14DE">
        <w:rPr>
          <w:rFonts w:cs="Times New Roman"/>
        </w:rPr>
        <w:t>b) la lettera a) è sostituita dalla seguente: “a) entro ottanta chilometri di distanza dalla residenza del beneficiario o comunque raggiungibile nel limite temporale massimo di cento minuti con i mezzi di trasporto pubblici, se si tratta di prima offerta, ovvero, fermo quanto previsto alla lettera d), ovunque collocata nel territorio italiano se si tratta di seconda offerta”;</w:t>
      </w:r>
    </w:p>
    <w:p w14:paraId="25D92002" w14:textId="77777777" w:rsidR="00D1051E" w:rsidRPr="00EC14DE" w:rsidRDefault="00D1051E" w:rsidP="00D1051E">
      <w:pPr>
        <w:ind w:left="709"/>
        <w:rPr>
          <w:rFonts w:cs="Times New Roman"/>
        </w:rPr>
      </w:pPr>
      <w:r w:rsidRPr="00EC14DE">
        <w:rPr>
          <w:rFonts w:cs="Times New Roman"/>
        </w:rPr>
        <w:t>c) la lettera b) è sostituita dalla seguente: “b) in caso di rapporto di lavoro a tempo determinato o a tempo parziale, con le caratteristiche di cui all’articolo 25 del decreto legislativo 14 settembre 2015, n. 150, quando il luogo di lavoro non dista più di ottanta chilometri di distanza dalla residenza del beneficiario o comunque raggiungibile nel limite temporale massimo di cento minuti con i mezzi di trasporto pubblici, in caso sia di prima sia di seconda offerta”;</w:t>
      </w:r>
    </w:p>
    <w:p w14:paraId="15ADA646" w14:textId="77777777" w:rsidR="00D1051E" w:rsidRPr="00EC14DE" w:rsidRDefault="00D1051E" w:rsidP="009646B8">
      <w:pPr>
        <w:pStyle w:val="Paragrafoelenco"/>
        <w:spacing w:line="240" w:lineRule="auto"/>
        <w:ind w:left="284"/>
        <w:jc w:val="both"/>
        <w:rPr>
          <w:rFonts w:ascii="Times New Roman" w:hAnsi="Times New Roman" w:cs="Times New Roman"/>
        </w:rPr>
      </w:pPr>
      <w:r w:rsidRPr="00EC14DE">
        <w:rPr>
          <w:rFonts w:ascii="Times New Roman" w:hAnsi="Times New Roman" w:cs="Times New Roman"/>
        </w:rPr>
        <w:t xml:space="preserve">5) al comma 13 è aggiunto, in fine, il seguente periodo: “Il Patto per l'inclusione sociale prevede in ogni caso la frequenza almeno mensile in presenza presso i servizi di contrasto alla povertà al fine della verifica dei risultati raggiunti e del rispetto degli impegni assunti nell’ambito del progetto personalizzato; in caso di mancata presentazione senza comprovato giustificato motivo si applica la decadenza dal beneficio.” </w:t>
      </w:r>
    </w:p>
    <w:p w14:paraId="41D09216" w14:textId="77777777" w:rsidR="00D1051E" w:rsidRPr="00EC14DE" w:rsidRDefault="00D1051E" w:rsidP="00D1051E">
      <w:pPr>
        <w:pStyle w:val="Paragrafoelenco"/>
        <w:spacing w:line="240" w:lineRule="auto"/>
        <w:ind w:left="284"/>
        <w:jc w:val="both"/>
        <w:rPr>
          <w:rFonts w:ascii="Times New Roman" w:hAnsi="Times New Roman" w:cs="Times New Roman"/>
        </w:rPr>
      </w:pPr>
      <w:r w:rsidRPr="00EC14DE">
        <w:rPr>
          <w:rFonts w:ascii="Times New Roman" w:hAnsi="Times New Roman" w:cs="Times New Roman"/>
        </w:rPr>
        <w:t>6) al comma 15 le parole “con il consenso di entrambe le parti.”</w:t>
      </w:r>
      <w:r w:rsidR="00A83CC6" w:rsidRPr="00EC14DE">
        <w:rPr>
          <w:rFonts w:ascii="Times New Roman" w:hAnsi="Times New Roman" w:cs="Times New Roman"/>
        </w:rPr>
        <w:t>,</w:t>
      </w:r>
      <w:r w:rsidRPr="00EC14DE">
        <w:rPr>
          <w:rFonts w:ascii="Times New Roman" w:hAnsi="Times New Roman" w:cs="Times New Roman"/>
        </w:rPr>
        <w:t xml:space="preserve"> sono sostituite dalle seguenti: “.</w:t>
      </w:r>
      <w:r w:rsidR="00E12798" w:rsidRPr="00EC14DE">
        <w:rPr>
          <w:rFonts w:ascii="Times New Roman" w:hAnsi="Times New Roman" w:cs="Times New Roman"/>
        </w:rPr>
        <w:t xml:space="preserve"> </w:t>
      </w:r>
      <w:r w:rsidRPr="00EC14DE">
        <w:rPr>
          <w:rFonts w:ascii="Times New Roman" w:hAnsi="Times New Roman" w:cs="Times New Roman"/>
        </w:rPr>
        <w:t>Nell’ambito dei progetti utili alla collettività, i Comuni sono tenuti ad impiegare almeno</w:t>
      </w:r>
      <w:r w:rsidR="00535AE4" w:rsidRPr="00EC14DE">
        <w:rPr>
          <w:rFonts w:ascii="Times New Roman" w:hAnsi="Times New Roman" w:cs="Times New Roman"/>
        </w:rPr>
        <w:t xml:space="preserve"> un terzo dei percettori di Rdc </w:t>
      </w:r>
      <w:r w:rsidRPr="00EC14DE">
        <w:rPr>
          <w:rFonts w:ascii="Times New Roman" w:hAnsi="Times New Roman" w:cs="Times New Roman"/>
        </w:rPr>
        <w:t>residenti. Lo svolgimento di tali attivit</w:t>
      </w:r>
      <w:r w:rsidR="00535AE4" w:rsidRPr="00EC14DE">
        <w:rPr>
          <w:rFonts w:ascii="Times New Roman" w:hAnsi="Times New Roman" w:cs="Times New Roman"/>
        </w:rPr>
        <w:t>à da parte dei percettori di Rdc</w:t>
      </w:r>
      <w:r w:rsidRPr="00EC14DE">
        <w:rPr>
          <w:rFonts w:ascii="Times New Roman" w:hAnsi="Times New Roman" w:cs="Times New Roman"/>
        </w:rPr>
        <w:t xml:space="preserve"> è a titolo gratuito e non è assimilabile ad una prestazione di lavoro subordinato o parasubordinato e non comporta, comunque, l’instaurazione di un rapporto di pubblico impiego con le amministrazioni pubbliche. Resta fermo quanto previsto dall’articolo 7, comma 5, lettera d).”;</w:t>
      </w:r>
    </w:p>
    <w:p w14:paraId="79813AD8" w14:textId="77777777" w:rsidR="00D1051E" w:rsidRPr="00EC14DE" w:rsidRDefault="00D1051E" w:rsidP="00D1051E">
      <w:pPr>
        <w:pStyle w:val="Paragrafoelenco"/>
        <w:spacing w:line="240" w:lineRule="auto"/>
        <w:ind w:left="284"/>
        <w:jc w:val="both"/>
        <w:rPr>
          <w:rFonts w:ascii="Times New Roman" w:hAnsi="Times New Roman" w:cs="Times New Roman"/>
        </w:rPr>
      </w:pPr>
      <w:r w:rsidRPr="00EC14DE">
        <w:rPr>
          <w:rFonts w:ascii="Times New Roman" w:hAnsi="Times New Roman" w:cs="Times New Roman"/>
          <w:bCs/>
        </w:rPr>
        <w:t>7) dopo il comma 15-</w:t>
      </w:r>
      <w:r w:rsidRPr="00EC14DE">
        <w:rPr>
          <w:rFonts w:ascii="Times New Roman" w:hAnsi="Times New Roman" w:cs="Times New Roman"/>
          <w:bCs/>
          <w:i/>
          <w:iCs/>
        </w:rPr>
        <w:t>quinquies</w:t>
      </w:r>
      <w:r w:rsidRPr="00EC14DE">
        <w:rPr>
          <w:rFonts w:ascii="Times New Roman" w:hAnsi="Times New Roman" w:cs="Times New Roman"/>
          <w:bCs/>
        </w:rPr>
        <w:t>, è aggiunto il seguente: “15-</w:t>
      </w:r>
      <w:r w:rsidRPr="00EC14DE">
        <w:rPr>
          <w:rFonts w:ascii="Times New Roman" w:hAnsi="Times New Roman" w:cs="Times New Roman"/>
          <w:bCs/>
          <w:i/>
          <w:iCs/>
        </w:rPr>
        <w:t xml:space="preserve">sexies. </w:t>
      </w:r>
      <w:r w:rsidRPr="00EC14DE">
        <w:rPr>
          <w:rFonts w:ascii="Times New Roman" w:hAnsi="Times New Roman" w:cs="Times New Roman"/>
          <w:bCs/>
        </w:rPr>
        <w:t>I Patti per il lavoro e i Patti per l’inclusione sociale prevedono necessariamente la partecipazione periodica dei beneficiari ad attività e colloqui da svolgersi in presenza”;</w:t>
      </w:r>
    </w:p>
    <w:p w14:paraId="6DBB5D0A" w14:textId="77777777" w:rsidR="00D1051E" w:rsidRPr="00EC14DE" w:rsidRDefault="00D1051E" w:rsidP="00D1051E">
      <w:pPr>
        <w:pStyle w:val="Paragrafoelenco"/>
        <w:spacing w:line="240" w:lineRule="auto"/>
        <w:ind w:left="0"/>
        <w:jc w:val="both"/>
        <w:rPr>
          <w:rFonts w:ascii="Times New Roman" w:hAnsi="Times New Roman" w:cs="Times New Roman"/>
        </w:rPr>
      </w:pPr>
      <w:r w:rsidRPr="00EC14DE">
        <w:rPr>
          <w:rFonts w:ascii="Times New Roman" w:hAnsi="Times New Roman" w:cs="Times New Roman"/>
        </w:rPr>
        <w:t>d) all’articolo 5:</w:t>
      </w:r>
    </w:p>
    <w:p w14:paraId="47ED2A1D" w14:textId="77777777" w:rsidR="00D1051E" w:rsidRPr="00EC14DE" w:rsidRDefault="00D1051E" w:rsidP="00D1051E">
      <w:pPr>
        <w:pStyle w:val="Paragrafoelenco"/>
        <w:spacing w:line="240" w:lineRule="auto"/>
        <w:ind w:left="284"/>
        <w:jc w:val="both"/>
        <w:rPr>
          <w:rFonts w:ascii="Times New Roman" w:hAnsi="Times New Roman" w:cs="Times New Roman"/>
        </w:rPr>
      </w:pPr>
      <w:r w:rsidRPr="00EC14DE">
        <w:rPr>
          <w:rFonts w:ascii="Times New Roman" w:hAnsi="Times New Roman" w:cs="Times New Roman"/>
        </w:rPr>
        <w:t>1) al comma 2, sono apportate le seguenti modifiche:</w:t>
      </w:r>
    </w:p>
    <w:p w14:paraId="70758083" w14:textId="77777777" w:rsidR="00D1051E" w:rsidRPr="00EC14DE" w:rsidRDefault="00D1051E" w:rsidP="00D1051E">
      <w:pPr>
        <w:pStyle w:val="Paragrafoelenco"/>
        <w:spacing w:line="240" w:lineRule="auto"/>
        <w:ind w:left="709"/>
        <w:jc w:val="both"/>
        <w:rPr>
          <w:rFonts w:ascii="Times New Roman" w:hAnsi="Times New Roman" w:cs="Times New Roman"/>
        </w:rPr>
      </w:pPr>
      <w:r w:rsidRPr="00EC14DE">
        <w:rPr>
          <w:rFonts w:ascii="Times New Roman" w:hAnsi="Times New Roman" w:cs="Times New Roman"/>
        </w:rPr>
        <w:t>a) al primo periodo, le parole “Con decreto del Ministro del lavoro e delle politiche sociali, sentito il Garante per la protezione dei dati personali, possono essere individuate” sono sostituite dalle seguenti: “Con uno o più decreti del Ministro del lavoro e delle politiche sociali, sentito il Garante per la protezione dei dati personali, sono individuate” e, dopo le parole “decreto legislativo n. 147 del 2017”, sono inserite le seguenti: “, nonché le modalità di precompilazione della richiesta di Rd</w:t>
      </w:r>
      <w:r w:rsidR="00733BAA" w:rsidRPr="00EC14DE">
        <w:rPr>
          <w:rFonts w:ascii="Times New Roman" w:hAnsi="Times New Roman" w:cs="Times New Roman"/>
        </w:rPr>
        <w:t>c</w:t>
      </w:r>
      <w:r w:rsidRPr="00EC14DE">
        <w:rPr>
          <w:rFonts w:ascii="Times New Roman" w:hAnsi="Times New Roman" w:cs="Times New Roman"/>
        </w:rPr>
        <w:t>, sulla base delle informazioni disponibili nei propri archivi e in quelli delle amministrazioni titolari dei dati di cui al comma 4”;</w:t>
      </w:r>
    </w:p>
    <w:p w14:paraId="66D00398" w14:textId="77777777" w:rsidR="00D1051E" w:rsidRPr="00EC14DE" w:rsidRDefault="00D1051E" w:rsidP="00D1051E">
      <w:pPr>
        <w:pStyle w:val="Paragrafoelenco"/>
        <w:spacing w:line="240" w:lineRule="auto"/>
        <w:ind w:left="709"/>
        <w:jc w:val="both"/>
        <w:rPr>
          <w:rFonts w:ascii="Times New Roman" w:hAnsi="Times New Roman" w:cs="Times New Roman"/>
        </w:rPr>
      </w:pPr>
      <w:r w:rsidRPr="00EC14DE">
        <w:rPr>
          <w:rFonts w:ascii="Times New Roman" w:hAnsi="Times New Roman" w:cs="Times New Roman"/>
        </w:rPr>
        <w:t>b) al secondo periodo, le parole “del decreto di cui al primo periodo” sono sostituite dalle seguenti: “dei decreti di cui al primo periodo”;</w:t>
      </w:r>
    </w:p>
    <w:p w14:paraId="5526CE89" w14:textId="77777777" w:rsidR="00D1051E" w:rsidRPr="00EC14DE" w:rsidRDefault="00D1051E" w:rsidP="00D1051E">
      <w:pPr>
        <w:pStyle w:val="Paragrafoelenco"/>
        <w:spacing w:line="240" w:lineRule="auto"/>
        <w:ind w:left="284"/>
        <w:jc w:val="both"/>
        <w:rPr>
          <w:rFonts w:ascii="Times New Roman" w:hAnsi="Times New Roman" w:cs="Times New Roman"/>
        </w:rPr>
      </w:pPr>
      <w:r w:rsidRPr="00EC14DE">
        <w:rPr>
          <w:rFonts w:ascii="Times New Roman" w:hAnsi="Times New Roman" w:cs="Times New Roman"/>
        </w:rPr>
        <w:t>2) al comma 3, sono apportate le seguenti modifiche:</w:t>
      </w:r>
    </w:p>
    <w:p w14:paraId="4CCE4253" w14:textId="77777777" w:rsidR="00D1051E" w:rsidRPr="00EC14DE" w:rsidRDefault="00D1051E" w:rsidP="00D1051E">
      <w:pPr>
        <w:pStyle w:val="Paragrafoelenco"/>
        <w:spacing w:line="240" w:lineRule="auto"/>
        <w:ind w:left="709"/>
        <w:jc w:val="both"/>
        <w:rPr>
          <w:rFonts w:ascii="Times New Roman" w:hAnsi="Times New Roman" w:cs="Times New Roman"/>
        </w:rPr>
      </w:pPr>
      <w:r w:rsidRPr="00EC14DE">
        <w:rPr>
          <w:rFonts w:ascii="Times New Roman" w:hAnsi="Times New Roman" w:cs="Times New Roman"/>
        </w:rPr>
        <w:t>a) al terzo periodo, dopo le parole “senza nuovi o maggiori oneri per la finanza pubblica” sono inserite le seguenti: “e fermi restando i dati di cui al comma 2”;</w:t>
      </w:r>
    </w:p>
    <w:p w14:paraId="1FD33ADA" w14:textId="77777777" w:rsidR="00D1051E" w:rsidRPr="00EC14DE" w:rsidRDefault="00D1051E" w:rsidP="00D1051E">
      <w:pPr>
        <w:pStyle w:val="Paragrafoelenco"/>
        <w:spacing w:line="240" w:lineRule="auto"/>
        <w:ind w:left="709"/>
        <w:jc w:val="both"/>
        <w:rPr>
          <w:rFonts w:ascii="Times New Roman" w:hAnsi="Times New Roman" w:cs="Times New Roman"/>
        </w:rPr>
      </w:pPr>
      <w:r w:rsidRPr="00EC14DE">
        <w:rPr>
          <w:rFonts w:ascii="Times New Roman" w:hAnsi="Times New Roman" w:cs="Times New Roman"/>
        </w:rPr>
        <w:t>b) il quinto periodo è sostituito dal seguente: “In ogni caso, la valutazione e l’eventuale riconoscimento da parte dell’INPS avvengono entro la fine del mese successivo alla trasmissione della domanda all’Istituto.”;</w:t>
      </w:r>
    </w:p>
    <w:p w14:paraId="058588BA" w14:textId="77777777" w:rsidR="00D1051E" w:rsidRPr="00EC14DE" w:rsidRDefault="00D1051E" w:rsidP="00D1051E">
      <w:pPr>
        <w:ind w:left="284"/>
        <w:rPr>
          <w:rFonts w:cs="Times New Roman"/>
        </w:rPr>
      </w:pPr>
      <w:r w:rsidRPr="00EC14DE">
        <w:rPr>
          <w:rFonts w:cs="Times New Roman"/>
        </w:rPr>
        <w:t>3) al comma 4, il secondo periodo è sostituito dai seguenti: “I Comuni effettuano a campione, all’atto della presentazione dell’istanza, verifiche sostanziali e controlli anagrafici sulla composizione del nucleo familiare dichiarato ne</w:t>
      </w:r>
      <w:r w:rsidR="00733BAA" w:rsidRPr="00EC14DE">
        <w:rPr>
          <w:rFonts w:cs="Times New Roman"/>
        </w:rPr>
        <w:t>lla domanda per l’accesso al Rdc</w:t>
      </w:r>
      <w:r w:rsidRPr="00EC14DE">
        <w:rPr>
          <w:rFonts w:cs="Times New Roman"/>
        </w:rPr>
        <w:t xml:space="preserve"> e sull’effettivo possesso dei requisiti di cui al primo periodo nonché, successivamente all’erogazione del beneficio, sulla permanenza degli stessi. A tal fine l’INPS rende disponibili ai Comuni le informazioni rilevanti per il tramite della piattaforma di cui all’articolo 6, comma 1. I criteri per la selezione del campione sono definiti in sede di Conferenza Stato-città ed autonomie locali con la partecipazione dell’INPS, al quale è tempestivamente comunicato l’esito delle verifiche e dei controlli attraverso la piattaforma di cui all’articolo 6, comma 1, finalizzata al coordinamento dei Comuni.”; </w:t>
      </w:r>
    </w:p>
    <w:p w14:paraId="6EDAFEA4" w14:textId="77777777" w:rsidR="00D1051E" w:rsidRPr="00EC14DE" w:rsidRDefault="00D1051E" w:rsidP="00D1051E">
      <w:pPr>
        <w:ind w:left="284"/>
        <w:rPr>
          <w:rFonts w:cs="Times New Roman"/>
        </w:rPr>
      </w:pPr>
      <w:r w:rsidRPr="00EC14DE">
        <w:rPr>
          <w:rFonts w:cs="Times New Roman"/>
        </w:rPr>
        <w:t>4) dopo il comma 4 sono aggiunti i seguenti:</w:t>
      </w:r>
    </w:p>
    <w:p w14:paraId="6267C6D2" w14:textId="77777777" w:rsidR="00D1051E" w:rsidRPr="00EC14DE" w:rsidRDefault="00D1051E" w:rsidP="00D1051E">
      <w:pPr>
        <w:autoSpaceDE w:val="0"/>
        <w:autoSpaceDN w:val="0"/>
        <w:ind w:left="284"/>
        <w:rPr>
          <w:rFonts w:cs="Times New Roman"/>
        </w:rPr>
      </w:pPr>
      <w:r w:rsidRPr="00EC14DE">
        <w:rPr>
          <w:rFonts w:cs="Times New Roman"/>
        </w:rPr>
        <w:t>“4-bis. I dati anagrafici, di residenza, di soggiorno e di cittadinanza, dichiarati in modo analitico nella domanda, sono preventivamente e tempestivamente verificati dall’INPS sulla base delle informazioni presenti nelle banche dati a disposizione dell’Istituto.</w:t>
      </w:r>
    </w:p>
    <w:p w14:paraId="42436033" w14:textId="77777777" w:rsidR="00D1051E" w:rsidRPr="00EC14DE" w:rsidRDefault="00D1051E" w:rsidP="00D1051E">
      <w:pPr>
        <w:autoSpaceDE w:val="0"/>
        <w:autoSpaceDN w:val="0"/>
        <w:ind w:left="284"/>
        <w:rPr>
          <w:rFonts w:cs="Times New Roman"/>
        </w:rPr>
      </w:pPr>
      <w:r w:rsidRPr="00EC14DE">
        <w:rPr>
          <w:rFonts w:cs="Times New Roman"/>
        </w:rPr>
        <w:t>4-ter. L’INPS comunica tempestivamente ai Comuni responsabili dei controlli ai sensi dell’articolo 7, comma 15, le posizioni che necessitano di ulteriori accertamenti sui requisiti anagrafici mediante la piattaforma di cui all’articolo 6, comma 1.</w:t>
      </w:r>
    </w:p>
    <w:p w14:paraId="2DCE4C4F" w14:textId="77777777" w:rsidR="00D1051E" w:rsidRPr="00EC14DE" w:rsidRDefault="00D1051E" w:rsidP="00D1051E">
      <w:pPr>
        <w:autoSpaceDE w:val="0"/>
        <w:autoSpaceDN w:val="0"/>
        <w:ind w:left="284"/>
        <w:rPr>
          <w:rFonts w:cs="Times New Roman"/>
        </w:rPr>
      </w:pPr>
      <w:r w:rsidRPr="00EC14DE">
        <w:rPr>
          <w:rFonts w:cs="Times New Roman"/>
        </w:rPr>
        <w:t>4-quater. L'esito delle verifiche è comunicato dai Comuni all'INPS attraverso la piattaforma di cui all'articolo 6, comma 1, entro centoventi giorni dalla comunicazione di cui al comma 4-ter da parte dell’INPS. Durante tale termine il pagamento delle somme è sospeso. Decorso tale termine, qualora l’esito delle verifiche non sia comunicato dai Comuni all’INPS, il pagamento delle somme è comunque disposto. Il responsabile del procedimento del Comune che deve fornire i dati risponde per il danno erariale causato dalla eventuale corresponsione delle somme non dovute.</w:t>
      </w:r>
    </w:p>
    <w:p w14:paraId="5E524CFC" w14:textId="77777777" w:rsidR="00D1051E" w:rsidRPr="00EC14DE" w:rsidRDefault="00D1051E" w:rsidP="00D1051E">
      <w:pPr>
        <w:autoSpaceDE w:val="0"/>
        <w:autoSpaceDN w:val="0"/>
        <w:ind w:left="284"/>
        <w:rPr>
          <w:rFonts w:cs="Times New Roman"/>
        </w:rPr>
      </w:pPr>
      <w:r w:rsidRPr="00EC14DE">
        <w:rPr>
          <w:rFonts w:cs="Times New Roman"/>
        </w:rPr>
        <w:t xml:space="preserve">4-quinquies. L'Anagrafe nazionale di cui al comma 4, senza nuovi o maggiori oneri per la finanza pubblica, mette comunque a disposizione della piattaforma di cui all’articolo 6, comma 1, le informazioni disponibili sui beneficiari del Rdc”; </w:t>
      </w:r>
    </w:p>
    <w:p w14:paraId="16605B08" w14:textId="77777777" w:rsidR="00D1051E" w:rsidRPr="00EC14DE" w:rsidRDefault="00D1051E" w:rsidP="00D1051E">
      <w:pPr>
        <w:autoSpaceDE w:val="0"/>
        <w:autoSpaceDN w:val="0"/>
        <w:rPr>
          <w:rFonts w:cs="Times New Roman"/>
        </w:rPr>
      </w:pPr>
      <w:r w:rsidRPr="00EC14DE">
        <w:rPr>
          <w:rFonts w:cs="Times New Roman"/>
        </w:rPr>
        <w:t xml:space="preserve">e) all’articolo 6, dopo il comma 4 è inserito il seguente: “4-bis. Al fine di favorire l’incontro tra domanda e offerta di lavoro e l’attività di mediazione tra domanda e offerta di lavoro, la piattaforma di cui al comma 2, integrata anche con i dati dei beneficiari di prestazioni di sostegno al reddito per la disoccupazione involontaria messi a disposizione dall’INPS, prevede parità di accesso ai centri per l'impiego e ai soggetti accreditati di cui all'articolo 12 del decreto legislativo 14 settembre 2015, n. 150 e opera in cooperazione con il Portale del Dipartimento della funzione pubblica della Presidenza del Consiglio dei ministri </w:t>
      </w:r>
      <w:hyperlink r:id="rId8" w:history="1">
        <w:r w:rsidRPr="00EC14DE">
          <w:rPr>
            <w:rStyle w:val="Collegamentoipertestuale"/>
            <w:rFonts w:cs="Times New Roman"/>
            <w:color w:val="auto"/>
            <w:u w:val="none"/>
          </w:rPr>
          <w:t>www.inPa.gov.it</w:t>
        </w:r>
      </w:hyperlink>
      <w:r w:rsidRPr="00EC14DE">
        <w:rPr>
          <w:rFonts w:cs="Times New Roman"/>
        </w:rPr>
        <w:t xml:space="preserve">.”; </w:t>
      </w:r>
    </w:p>
    <w:p w14:paraId="09910293" w14:textId="77777777" w:rsidR="00D1051E" w:rsidRPr="00EC14DE" w:rsidRDefault="00D1051E" w:rsidP="00D1051E">
      <w:pPr>
        <w:autoSpaceDE w:val="0"/>
        <w:autoSpaceDN w:val="0"/>
        <w:rPr>
          <w:rFonts w:cs="Times New Roman"/>
        </w:rPr>
      </w:pPr>
      <w:r w:rsidRPr="00EC14DE">
        <w:rPr>
          <w:rFonts w:cs="Times New Roman"/>
        </w:rPr>
        <w:t>f) all’articolo 7:</w:t>
      </w:r>
    </w:p>
    <w:p w14:paraId="1B1C6B84" w14:textId="77777777" w:rsidR="00D1051E" w:rsidRPr="00EC14DE" w:rsidRDefault="00D1051E" w:rsidP="00D1051E">
      <w:pPr>
        <w:pStyle w:val="Paragrafoelenco"/>
        <w:autoSpaceDE w:val="0"/>
        <w:autoSpaceDN w:val="0"/>
        <w:spacing w:line="240" w:lineRule="auto"/>
        <w:ind w:left="284"/>
        <w:jc w:val="both"/>
        <w:rPr>
          <w:rFonts w:ascii="Times New Roman" w:hAnsi="Times New Roman" w:cs="Times New Roman"/>
        </w:rPr>
      </w:pPr>
      <w:r w:rsidRPr="00EC14DE">
        <w:rPr>
          <w:rFonts w:ascii="Times New Roman" w:hAnsi="Times New Roman" w:cs="Times New Roman"/>
        </w:rPr>
        <w:t>1) al comma 3, le parole “e per quelli previsti dagli articoli 270-bis, 280, 289-bis, 416-bis, 416-ter, 422 e 640-bis del codice penale, nonché per i delitti commessi avvalendosi delle condizioni previste dal predetto articolo 416-bis ovvero al fine di agevolare l'attività delle associazioni previste dallo stesso articolo,” sono sostituite dalle seguenti: “e per quelli previsti dagli articoli 270-bis, 280, 289-bis, 416-bis, 416-ter, 422, 600, 600-bis, 601, 602, 624-</w:t>
      </w:r>
      <w:r w:rsidRPr="00EC14DE">
        <w:rPr>
          <w:rFonts w:ascii="Times New Roman" w:hAnsi="Times New Roman" w:cs="Times New Roman"/>
          <w:i/>
        </w:rPr>
        <w:t>bis</w:t>
      </w:r>
      <w:r w:rsidRPr="00EC14DE">
        <w:rPr>
          <w:rFonts w:ascii="Times New Roman" w:hAnsi="Times New Roman" w:cs="Times New Roman"/>
        </w:rPr>
        <w:t>,</w:t>
      </w:r>
      <w:r w:rsidRPr="00EC14DE">
        <w:rPr>
          <w:rFonts w:ascii="Times New Roman" w:hAnsi="Times New Roman" w:cs="Times New Roman"/>
          <w:i/>
        </w:rPr>
        <w:t xml:space="preserve"> </w:t>
      </w:r>
      <w:r w:rsidRPr="00EC14DE">
        <w:rPr>
          <w:rFonts w:ascii="Times New Roman" w:hAnsi="Times New Roman" w:cs="Times New Roman"/>
        </w:rPr>
        <w:t>628, 629, 630,</w:t>
      </w:r>
      <w:r w:rsidRPr="00EC14DE">
        <w:rPr>
          <w:rFonts w:ascii="Times New Roman" w:hAnsi="Times New Roman" w:cs="Times New Roman"/>
          <w:bCs/>
        </w:rPr>
        <w:t xml:space="preserve"> </w:t>
      </w:r>
      <w:r w:rsidRPr="00EC14DE">
        <w:rPr>
          <w:rFonts w:ascii="Times New Roman" w:hAnsi="Times New Roman" w:cs="Times New Roman"/>
        </w:rPr>
        <w:t>640-bis, 644, 648, 648-bis, 648-ter, del codice penale, dall’articolo 3 della legge 20 febbraio 1958, per i delitti aggravati ai sensi dell’articolo 416-bis1 del codice penale, e per i reati di cui all’articolo 73, commi 1, 1-bis, 2, 3, 4 e, per quanto riguarda l’ipotesi di cui al comma 5, in caso di recidiva, del decreto del Presidente della Repubblica 9 ottobre 1990, n. 309, dell’articolo 74 e in tutte le ipotesi aggravate di cui all’articolo 80 del medesimo decreto del Presidente della Repubblica 9 ottobre 1990, n. 309 e per i reati di cui all’articolo 12, comma 1, quando ricorra l’aggravante del comma 3-ter, e comma 3, del decreto legislativo 25 luglio 1998, n. 286,”;</w:t>
      </w:r>
    </w:p>
    <w:p w14:paraId="2C555D94" w14:textId="77777777" w:rsidR="00D1051E" w:rsidRPr="00EC14DE" w:rsidRDefault="00D1051E" w:rsidP="00D1051E">
      <w:pPr>
        <w:autoSpaceDE w:val="0"/>
        <w:autoSpaceDN w:val="0"/>
        <w:ind w:left="284"/>
        <w:rPr>
          <w:rFonts w:cs="Times New Roman"/>
        </w:rPr>
      </w:pPr>
      <w:r w:rsidRPr="00EC14DE">
        <w:rPr>
          <w:rFonts w:cs="Times New Roman"/>
        </w:rPr>
        <w:t>2) dopo il comma 3, è aggiunto il seguente: “3-bis. Nel caso di condanna definitiva per i reati di cui al comma 3, qualora il condannato abbia reso la dichiarazione ai sensi dell’articolo 7-ter, comma 3,</w:t>
      </w:r>
      <w:r w:rsidRPr="00EC14DE">
        <w:rPr>
          <w:rFonts w:cs="Times New Roman"/>
          <w:bCs/>
        </w:rPr>
        <w:t xml:space="preserve"> </w:t>
      </w:r>
      <w:r w:rsidRPr="00EC14DE">
        <w:rPr>
          <w:rFonts w:cs="Times New Roman"/>
        </w:rPr>
        <w:t>le decisioni sono comunicate dalla cancelleria del giudice all’INPS entro quindici giorni dalla data di pubblicazione della sentenza definitiva.”</w:t>
      </w:r>
      <w:r w:rsidRPr="00EC14DE">
        <w:rPr>
          <w:rFonts w:cs="Times New Roman"/>
          <w:bCs/>
        </w:rPr>
        <w:t xml:space="preserve"> </w:t>
      </w:r>
    </w:p>
    <w:p w14:paraId="61F3BA33" w14:textId="77777777" w:rsidR="00D1051E" w:rsidRPr="00EC14DE" w:rsidRDefault="00D1051E" w:rsidP="00D1051E">
      <w:pPr>
        <w:autoSpaceDE w:val="0"/>
        <w:autoSpaceDN w:val="0"/>
        <w:ind w:left="284"/>
        <w:rPr>
          <w:rFonts w:cs="Times New Roman"/>
        </w:rPr>
      </w:pPr>
      <w:r w:rsidRPr="00EC14DE">
        <w:rPr>
          <w:rFonts w:cs="Times New Roman"/>
        </w:rPr>
        <w:t>3) al comma 5:</w:t>
      </w:r>
    </w:p>
    <w:p w14:paraId="5E3B22A6" w14:textId="77777777" w:rsidR="00D1051E" w:rsidRPr="00EC14DE" w:rsidRDefault="00D1051E" w:rsidP="00D1051E">
      <w:pPr>
        <w:autoSpaceDE w:val="0"/>
        <w:autoSpaceDN w:val="0"/>
        <w:ind w:left="709"/>
        <w:rPr>
          <w:rFonts w:cs="Times New Roman"/>
        </w:rPr>
      </w:pPr>
      <w:r w:rsidRPr="00EC14DE">
        <w:rPr>
          <w:rFonts w:cs="Times New Roman"/>
        </w:rPr>
        <w:t xml:space="preserve">a) la lettera a) è sostituita dalla seguente: “a) non si presenta presso il Centro per l’impiego entro il termine da questo fissato;”; </w:t>
      </w:r>
    </w:p>
    <w:p w14:paraId="1DAD1844" w14:textId="77777777" w:rsidR="00D1051E" w:rsidRPr="00EC14DE" w:rsidRDefault="00D1051E" w:rsidP="00D1051E">
      <w:pPr>
        <w:ind w:left="709"/>
        <w:rPr>
          <w:rFonts w:cs="Times New Roman"/>
        </w:rPr>
      </w:pPr>
      <w:r w:rsidRPr="00EC14DE">
        <w:rPr>
          <w:rFonts w:cs="Times New Roman"/>
        </w:rPr>
        <w:t xml:space="preserve">c) alla lettera e), le parole “almeno una di tre” sono sostituite dalla seguente: “due”; </w:t>
      </w:r>
    </w:p>
    <w:p w14:paraId="1488BA01" w14:textId="77777777" w:rsidR="00D1051E" w:rsidRPr="00EC14DE" w:rsidRDefault="00D1051E" w:rsidP="00D1051E">
      <w:pPr>
        <w:rPr>
          <w:rFonts w:cs="Times New Roman"/>
        </w:rPr>
      </w:pPr>
      <w:r w:rsidRPr="00EC14DE">
        <w:rPr>
          <w:rFonts w:cs="Times New Roman"/>
        </w:rPr>
        <w:t>g) all’articolo 8:</w:t>
      </w:r>
    </w:p>
    <w:p w14:paraId="5C546EE9" w14:textId="77777777" w:rsidR="00D1051E" w:rsidRPr="00EC14DE" w:rsidRDefault="00D1051E" w:rsidP="00D1051E">
      <w:pPr>
        <w:ind w:left="284"/>
        <w:rPr>
          <w:rFonts w:cs="Times New Roman"/>
        </w:rPr>
      </w:pPr>
      <w:r w:rsidRPr="00EC14DE">
        <w:rPr>
          <w:rFonts w:cs="Times New Roman"/>
        </w:rPr>
        <w:t>1) al comma 1, le parole: “Al datore di lavoro privato che comunica alla piattaforma digitale dedicata al Rdc presso l'ANPAL le disponibilità dei posti vacanti, e che su tali posti assuma a tempo pieno e indeterminato, anche mediante contratto di apprendistato, soggetti beneficiari di Rdc,”  sono sostituite dalle seguenti: “Al datore di lavoro privato che a assuma a tempo indeterminato, pieno  o parziale,  o determinato  o  anche mediante contratto di apprendistato,  i soggetti beneficiari di Rdc,”;</w:t>
      </w:r>
    </w:p>
    <w:p w14:paraId="2E2FC37A" w14:textId="77777777" w:rsidR="00D1051E" w:rsidRPr="00EC14DE" w:rsidRDefault="00D1051E" w:rsidP="00D1051E">
      <w:pPr>
        <w:autoSpaceDE w:val="0"/>
        <w:autoSpaceDN w:val="0"/>
        <w:ind w:left="284"/>
        <w:rPr>
          <w:rFonts w:cs="Times New Roman"/>
        </w:rPr>
      </w:pPr>
      <w:r w:rsidRPr="00EC14DE">
        <w:rPr>
          <w:rFonts w:cs="Times New Roman"/>
        </w:rPr>
        <w:t>2) dopo il comma 1 sono aggiunti i seguenti: ”1-bis.  Le agenzie per il lavoro iscritte all'Albo informatico delle agenzie per il lavoro disciplinate dal decreto legislativo 10 settembre 2003 n. 276, autorizzate da ANPAL a offrire i servizi di incontro tra domanda e offerta di lavoro possono svolgere attività di mediazione tra domanda e offerta di lavoro per i beneficiari di Rdc.</w:t>
      </w:r>
    </w:p>
    <w:p w14:paraId="796AE932" w14:textId="77777777" w:rsidR="00D1051E" w:rsidRPr="00EC14DE" w:rsidRDefault="00D1051E" w:rsidP="00D1051E">
      <w:pPr>
        <w:autoSpaceDE w:val="0"/>
        <w:autoSpaceDN w:val="0"/>
        <w:ind w:left="284"/>
        <w:rPr>
          <w:rFonts w:cs="Times New Roman"/>
        </w:rPr>
      </w:pPr>
      <w:r w:rsidRPr="00EC14DE">
        <w:rPr>
          <w:rFonts w:cs="Times New Roman"/>
        </w:rPr>
        <w:t>1-ter. Al fine di agevolare l’occupazione dei soggetti percettori di Rd</w:t>
      </w:r>
      <w:r w:rsidR="00733BAA" w:rsidRPr="00EC14DE">
        <w:rPr>
          <w:rFonts w:cs="Times New Roman"/>
        </w:rPr>
        <w:t>c</w:t>
      </w:r>
      <w:r w:rsidRPr="00EC14DE">
        <w:rPr>
          <w:rFonts w:cs="Times New Roman"/>
        </w:rPr>
        <w:t xml:space="preserve">, alle agenzie per il lavoro di cui al 10 settembre 2003 n. 276 è riconosciuto, per ogni soggetto assunto a seguito di specifica attività di mediazione, effettuata mediante l’utilizzo delle piattaforme di cui all’articolo 6, comma 1, il 20 per cento dell’incentivo di cui al comma 1, che viene decurtato dall’incentivo previsto per il datore di lavoro. </w:t>
      </w:r>
    </w:p>
    <w:p w14:paraId="1581271E" w14:textId="77777777" w:rsidR="00D1051E" w:rsidRPr="00EC14DE" w:rsidRDefault="00D1051E" w:rsidP="00D1051E">
      <w:pPr>
        <w:autoSpaceDE w:val="0"/>
        <w:autoSpaceDN w:val="0"/>
        <w:ind w:left="284"/>
        <w:rPr>
          <w:rFonts w:cs="Times New Roman"/>
        </w:rPr>
      </w:pPr>
      <w:r w:rsidRPr="00EC14DE">
        <w:rPr>
          <w:rFonts w:cs="Times New Roman"/>
        </w:rPr>
        <w:t>1-quater. I servizi per il lavoro, accreditati ai sensi dell’articolo 12 del decreto legislativo 14 settembre 2015, n. 150 e ai quali sia stata affidata l’attivazione di interventi in favore di beneficiari del Rd</w:t>
      </w:r>
      <w:r w:rsidR="00733BAA" w:rsidRPr="00EC14DE">
        <w:rPr>
          <w:rFonts w:cs="Times New Roman"/>
        </w:rPr>
        <w:t>c</w:t>
      </w:r>
      <w:r w:rsidRPr="00EC14DE">
        <w:rPr>
          <w:rFonts w:cs="Times New Roman"/>
        </w:rPr>
        <w:t xml:space="preserve"> nell’ambito del programma “Garanzia Occupabilità dei Lavoratori” (GOL), di cui alla Missione M5, Componente C1, del Piano per la ripresa e resilienza dell’Itala, approvato con decisione del Consiglio ECOFIN del 13 luglio 2021, comunicano tempestivamente, e comunque entro cinque giorni, al centro per l’impiego e all’ANPAL la mancata accettazione di un’offerta di lavoro congrua, pena la decadenza dalla partecipazione da parte del medesimo servizio per il lavoro al programma GOL per sei mesi, con riferimento all’attivazione di interventi in favore di qualsivoglia nuovo beneficiario. Sono fatti salvi gli interventi attivati al momento della mancata comunicazione.</w:t>
      </w:r>
    </w:p>
    <w:p w14:paraId="16C6586F" w14:textId="77777777" w:rsidR="00D1051E" w:rsidRPr="00EC14DE" w:rsidRDefault="00D1051E" w:rsidP="00D1051E">
      <w:pPr>
        <w:autoSpaceDE w:val="0"/>
        <w:autoSpaceDN w:val="0"/>
        <w:ind w:left="284"/>
        <w:rPr>
          <w:rFonts w:cs="Times New Roman"/>
        </w:rPr>
      </w:pPr>
      <w:r w:rsidRPr="00EC14DE">
        <w:rPr>
          <w:rFonts w:cs="Times New Roman"/>
          <w:bCs/>
        </w:rPr>
        <w:t>1-quinquies. L’ANPAL realizza il monitoraggio e la valutazione comparativa dei servizi per il lavoro di cui al comma 1-quater, con riferimento agli esiti di ricollocazione per profilo di occupabilità, tenuto conto, in particolare, del numero di offerte congrue complessivamente formulate ai beneficiari del Rdc, incluse quelle non accettate. L’ANPAL segnala ai servizi interessati eventuali criticità riscontrate in sede di valutazione, anche in termini di numero di esiti positivi di ricollocazione e di offerte congrue complessivamente formulate, incluse quelle non accettate, da valutare in relazione al contesto territoriale di riferimento. Ove le criticità permangano, l’ANPAL valuta la revoca dalla partecipazione al programma GOL del servizio per il lavoro interessato. Sono fatti salvi gli interventi attivati al momento della revoca.”.</w:t>
      </w:r>
    </w:p>
    <w:p w14:paraId="523B4615" w14:textId="77777777" w:rsidR="00D1051E" w:rsidRPr="00EC14DE" w:rsidRDefault="00D1051E" w:rsidP="00D1051E">
      <w:pPr>
        <w:rPr>
          <w:rFonts w:cs="Times New Roman"/>
        </w:rPr>
      </w:pPr>
      <w:r w:rsidRPr="00EC14DE">
        <w:rPr>
          <w:rFonts w:cs="Times New Roman"/>
        </w:rPr>
        <w:t>2. Al fine di assicurare i controlli su tutti i richiedenti e percettori di Rd</w:t>
      </w:r>
      <w:r w:rsidR="005B0A3A" w:rsidRPr="00EC14DE">
        <w:rPr>
          <w:rFonts w:cs="Times New Roman"/>
        </w:rPr>
        <w:t>c</w:t>
      </w:r>
      <w:r w:rsidRPr="00EC14DE">
        <w:rPr>
          <w:rFonts w:cs="Times New Roman"/>
        </w:rPr>
        <w:t>, entro tre mesi dalla data di entrata in vigore della presente legge, nelle more della sottoscrizione di apposita convenzione tra l’INPS, il Ministero del lavoro e delle politiche sociali e il Ministero della giustizia per lo scambio integrale dei dati, l’INPS, trasmette al Ministero della giustizia l'elenco dei soggetti beneficiari del Rd</w:t>
      </w:r>
      <w:r w:rsidR="005B0A3A" w:rsidRPr="00EC14DE">
        <w:rPr>
          <w:rFonts w:cs="Times New Roman"/>
        </w:rPr>
        <w:t>c</w:t>
      </w:r>
      <w:r w:rsidRPr="00EC14DE">
        <w:rPr>
          <w:rFonts w:cs="Times New Roman"/>
        </w:rPr>
        <w:t>, per la verifica dei soggetti che risultino già condannati con sentenza passata in giudicato da meno di dieci anni per i reati di cui all’articolo 7, comma 3, del decreto-legge 28 gennaio 2019, n. 4, convertito, con modificazioni, dalla legge 28 marzo 2019, n. 26, per consentire all’Inps di disporre, ai sensi dell’articolo 7, comma 10, del medesimo decreto-legge n. 4 del 2019, la revoca del Rd</w:t>
      </w:r>
      <w:r w:rsidR="005B0A3A" w:rsidRPr="00EC14DE">
        <w:rPr>
          <w:rFonts w:cs="Times New Roman"/>
        </w:rPr>
        <w:t>c</w:t>
      </w:r>
      <w:r w:rsidRPr="00EC14DE">
        <w:rPr>
          <w:rFonts w:cs="Times New Roman"/>
        </w:rPr>
        <w:t xml:space="preserve"> eventualmente percepito ovvero di non riconoscere il beneficio. A tal fine il Ministero della giustizia trasmette all’INPS gli esiti della verifica di cui ai periodi precedenti entro sessanta giorni dalla ricezione dell’elenco ivi previsto.</w:t>
      </w:r>
    </w:p>
    <w:p w14:paraId="46FC7077" w14:textId="77777777" w:rsidR="00D1051E" w:rsidRPr="00EC14DE" w:rsidRDefault="00D1051E" w:rsidP="00D1051E">
      <w:pPr>
        <w:shd w:val="clear" w:color="auto" w:fill="FFFFFF"/>
        <w:rPr>
          <w:rFonts w:cs="Times New Roman"/>
        </w:rPr>
      </w:pPr>
      <w:r w:rsidRPr="00EC14DE">
        <w:rPr>
          <w:rFonts w:cs="Times New Roman"/>
        </w:rPr>
        <w:t>3. A decorrere dal 1° gennaio 2022, il beneficio economico mensile di cui all’articolo 3, comma 1, lettera a), del decreto-legge 28 gennaio 2019, n. 4, convertito, con modificazioni, dalla legge 28 marzo 2019, n. 26, è ridotto di una somma pari a 5 euro per ciascun mese a partire dal mese successivo a quello in cui si è eventualmente rifiutata un’offerta congrua ai sensi dell’articolo 25 del decreto legislativo n. 150 del 2015, come integrato dall’articolo 4, comma 9, del decreto-legge n. 4 del 2019, nei limiti di quanto previsto al comma 5 e ferma restando la decadenza della prestazione ai sensi dell’articolo 7, comma 5, lettera e).</w:t>
      </w:r>
      <w:r w:rsidRPr="00EC14DE">
        <w:rPr>
          <w:rFonts w:cs="Times New Roman"/>
          <w:bCs/>
        </w:rPr>
        <w:t xml:space="preserve"> </w:t>
      </w:r>
    </w:p>
    <w:p w14:paraId="5D736117" w14:textId="77777777" w:rsidR="00D1051E" w:rsidRPr="00EC14DE" w:rsidRDefault="00D1051E" w:rsidP="00D1051E">
      <w:pPr>
        <w:shd w:val="clear" w:color="auto" w:fill="FFFFFF"/>
        <w:rPr>
          <w:rFonts w:cs="Times New Roman"/>
        </w:rPr>
      </w:pPr>
      <w:r w:rsidRPr="00EC14DE">
        <w:rPr>
          <w:rFonts w:cs="Times New Roman"/>
        </w:rPr>
        <w:t>4. La riduzione di cui al comma 3 non opera per i nuclei familiari composti esclusivamente da componenti non tenuti agli obblighi connessi alla fruizione del Reddito di cittadinanza, ai sensi dell’articolo 4, comma 2, del decreto-legge n. 4 del 2019, nonché per i nuclei familiari fino a quando tra i componenti sia presente almeno un soggetto minore di tre anni di età ovvero una persona con disabilità grave o non autosufficienza, come definiti a fini ISEE.</w:t>
      </w:r>
    </w:p>
    <w:p w14:paraId="2E60A3B8" w14:textId="77777777" w:rsidR="00D1051E" w:rsidRPr="00EC14DE" w:rsidRDefault="00D1051E" w:rsidP="00D1051E">
      <w:pPr>
        <w:shd w:val="clear" w:color="auto" w:fill="FFFFFF"/>
        <w:rPr>
          <w:rFonts w:cs="Times New Roman"/>
        </w:rPr>
      </w:pPr>
      <w:r w:rsidRPr="00EC14DE">
        <w:rPr>
          <w:rFonts w:cs="Times New Roman"/>
          <w:bdr w:val="none" w:sz="0" w:space="0" w:color="auto" w:frame="1"/>
        </w:rPr>
        <w:t>5</w:t>
      </w:r>
      <w:r w:rsidRPr="00EC14DE">
        <w:rPr>
          <w:rFonts w:cs="Times New Roman"/>
        </w:rPr>
        <w:t>. La riduzione di cui al comma 3 si applica solo nei casi in cui il beneficio economico mensile, anche a seguito della rideterminazione di cui al medesimo comma 3, non risulti inferiore a 300 euro, moltiplicato per il corrispondente parametro della scala di equivalenza di cui all'articolo 2, comma 4, del medesimo d</w:t>
      </w:r>
      <w:r w:rsidR="00DC747F">
        <w:rPr>
          <w:rFonts w:cs="Times New Roman"/>
        </w:rPr>
        <w:t xml:space="preserve">ecreto-legge </w:t>
      </w:r>
      <w:r w:rsidRPr="00EC14DE">
        <w:rPr>
          <w:rFonts w:cs="Times New Roman"/>
        </w:rPr>
        <w:t>n. 4 del 2019.</w:t>
      </w:r>
    </w:p>
    <w:p w14:paraId="4C75A70E" w14:textId="77777777" w:rsidR="00D1051E" w:rsidRPr="00EC14DE" w:rsidRDefault="00D1051E" w:rsidP="00D1051E">
      <w:pPr>
        <w:shd w:val="clear" w:color="auto" w:fill="FFFFFF"/>
        <w:rPr>
          <w:rFonts w:cs="Times New Roman"/>
        </w:rPr>
      </w:pPr>
      <w:r w:rsidRPr="00EC14DE">
        <w:rPr>
          <w:rFonts w:cs="Times New Roman"/>
        </w:rPr>
        <w:t>6. La riduzione di cui al comma 3 è sospesa dal mese successivo a quello in cui almeno un componente del nucleo familiare abbia avviato attività da lavoro dipendente o autonomo da almeno un mese continuativo. A decorrere dal termine di sospensione di cui al primo periodo, il beneficio è rideterminato nelle modalità ordinarie.</w:t>
      </w:r>
    </w:p>
    <w:p w14:paraId="58969C6D" w14:textId="77777777" w:rsidR="00D1051E" w:rsidRPr="00EC14DE" w:rsidRDefault="00D1051E" w:rsidP="00D1051E">
      <w:pPr>
        <w:rPr>
          <w:rFonts w:cs="Times New Roman"/>
          <w:strike/>
        </w:rPr>
      </w:pPr>
      <w:r w:rsidRPr="00EC14DE">
        <w:rPr>
          <w:rFonts w:cs="Times New Roman"/>
        </w:rPr>
        <w:t>7. La riduzione di cui ai commi da 3 a 6, cumulata a partire dal mese dell’ultimo azzeramento, continua ad essere applicata anche a seguito dell’eventuale rinnovo del beneficio ai sensi dell’articolo 3, comma 6, del decreto-legge n. 4 del 2019.</w:t>
      </w:r>
      <w:r w:rsidRPr="00EC14DE">
        <w:rPr>
          <w:rFonts w:cs="Times New Roman"/>
          <w:strike/>
        </w:rPr>
        <w:t xml:space="preserve"> </w:t>
      </w:r>
    </w:p>
    <w:p w14:paraId="24FBE15C" w14:textId="77777777" w:rsidR="00D1051E" w:rsidRPr="00EC14DE" w:rsidRDefault="00D1051E" w:rsidP="00D1051E">
      <w:pPr>
        <w:rPr>
          <w:rFonts w:cs="Times New Roman"/>
        </w:rPr>
      </w:pPr>
      <w:r w:rsidRPr="00EC14DE">
        <w:rPr>
          <w:rFonts w:cs="Times New Roman"/>
        </w:rPr>
        <w:t>8. All’articolo 25, comma 1, del decreto legislativo 14 settembre 2015, n. 150 sono apportate le modificazioni di seguito indicate.</w:t>
      </w:r>
    </w:p>
    <w:p w14:paraId="6E013F24" w14:textId="77777777" w:rsidR="00D1051E" w:rsidRPr="00EC14DE" w:rsidRDefault="00D1051E" w:rsidP="00D1051E">
      <w:pPr>
        <w:rPr>
          <w:rFonts w:cs="Times New Roman"/>
        </w:rPr>
      </w:pPr>
      <w:r w:rsidRPr="00EC14DE">
        <w:rPr>
          <w:rFonts w:cs="Times New Roman"/>
        </w:rPr>
        <w:t>a) alla lettera d) le parole “ovvero, per i beneficiari di  Reddito di cittadinanza, superiore di almeno il  dieci  per  cento  rispetto  al beneficio massimo fruibile da  un  solo  individuo,  inclusivo  della componente ad  integrazione  del  reddito  dei  nuclei  residenti  in abitazione in locazione.” sono sostituite dalle seguenti: “ovvero, per i beneficiari di  Reddito di cittadinanza, superiore di almeno il  10  per  cento  rispetto  al beneficio mensile massimo fruibile da  un  solo  individuo,  inclusivo  della componente ad  integrazione  del  reddito  dei  nuclei  residenti  in abitazione in locazione, riproporzionata in base all’orario di lavoro previsto nel contratto individuale di lavoro.”;</w:t>
      </w:r>
      <w:r w:rsidRPr="00EC14DE">
        <w:rPr>
          <w:rFonts w:cs="Times New Roman"/>
          <w:bCs/>
        </w:rPr>
        <w:t xml:space="preserve">  </w:t>
      </w:r>
    </w:p>
    <w:p w14:paraId="40E0352D" w14:textId="77777777" w:rsidR="00D1051E" w:rsidRPr="00EC14DE" w:rsidRDefault="00D1051E" w:rsidP="00D1051E">
      <w:pPr>
        <w:rPr>
          <w:rFonts w:cs="Times New Roman"/>
        </w:rPr>
      </w:pPr>
      <w:r w:rsidRPr="00EC14DE">
        <w:rPr>
          <w:rFonts w:cs="Times New Roman"/>
        </w:rPr>
        <w:t>b) dopo la lettera d) è aggiunta la seguente: ”d-bis) per i beneficiari di  Reddito di cittadinanza, retribuzione non inferiore ai minimi salariali previsti dai contratti collettivi di cui all'articolo 51 del decreto legislativo n. 81 del 2015, rapporto di lavoro a tempo pieno o con un orario di lavoro non inferiore al 60 per cento dell’orario a tempo pieno previsto nei medesimi contratti collettivi, rapporto di lavoro a tempo indeterminato oppure determinato o di somministrazione di durata non inferiore a tre mesi.”</w:t>
      </w:r>
    </w:p>
    <w:p w14:paraId="7464C4CE" w14:textId="77777777" w:rsidR="00D1051E" w:rsidRPr="00EC14DE" w:rsidRDefault="00D1051E" w:rsidP="00D1051E">
      <w:pPr>
        <w:rPr>
          <w:rFonts w:cs="Times New Roman"/>
        </w:rPr>
      </w:pPr>
      <w:r w:rsidRPr="00EC14DE">
        <w:rPr>
          <w:rFonts w:cs="Times New Roman"/>
        </w:rPr>
        <w:t>9. Per le finalità di cui al comma 1, lettera e), il decreto di cui all’articolo 6, comma 1, del decreto-legge n. 4 del 2019, è integrato, entro novanta giorni dall’entrata in vigore della presente legge, sentito il Ministro per la pubblica amministrazione e l’INPS.</w:t>
      </w:r>
    </w:p>
    <w:p w14:paraId="58DEFB49" w14:textId="77777777" w:rsidR="004F6CCA" w:rsidRPr="00EC14DE" w:rsidRDefault="004F6CCA" w:rsidP="004F6CCA">
      <w:pPr>
        <w:rPr>
          <w:rFonts w:cs="Times New Roman"/>
        </w:rPr>
      </w:pPr>
      <w:r w:rsidRPr="00EC14DE">
        <w:rPr>
          <w:rFonts w:cs="Times New Roman"/>
        </w:rPr>
        <w:t xml:space="preserve">10. L’INPS con riferimento alle disposizioni di cui ai </w:t>
      </w:r>
      <w:r w:rsidRPr="00EC14DE">
        <w:rPr>
          <w:rFonts w:cs="Times New Roman"/>
          <w:bCs/>
        </w:rPr>
        <w:t>commi da 3 a 7</w:t>
      </w:r>
      <w:r w:rsidRPr="00EC14DE">
        <w:rPr>
          <w:rFonts w:cs="Times New Roman"/>
        </w:rPr>
        <w:t xml:space="preserve"> effettua una specifica attività di monitoraggio a cadenza trimestrale e, entro il mese successivo alla fine di ciascun trimestre, ne comunica i risultati al Ministero del lavoro e delle politiche sociali e al Ministero dell'economia e delle finanze. Qualora dalla predetta attività di monitoraggio siano annualmente accertati anche in via prospettica, tramite la procedura di cui all'articolo 14 della legge 7 agosto 1990, n. 241, minori oneri ascrivibili all’applicazione delle disposizioni di cui ai predetti commi da 3 a 7 i quali possano effettivamente trovare, anche parzialmente, riscontro, sulla base degli andamenti della complessiva spesa, in una corrispondente minore esigenza finanziaria rispetto all’autorizzazione di spesa di cui all'articolo 12, comma 1, del decreto-legge 28 gennaio 2019, n. 4, convertito,  con modificazioni, dalla legge 28 marzo 2019, n. 26, tali correlate accertate risorse possono essere destinate ad interventi di politiche attive del lavoro di cui al decreto legislativo 14 settembre 2015, n. 150. Il Ministro dell'economia e delle finanze è autorizzato ad apportare con propri decreti, su proposta del Ministro del lavoro e delle politiche sociali, le occorrenti variazioni di bilancio.</w:t>
      </w:r>
    </w:p>
    <w:p w14:paraId="7D5B0173" w14:textId="77777777" w:rsidR="00D1051E" w:rsidRPr="00EC14DE" w:rsidRDefault="00D1051E" w:rsidP="00D1051E">
      <w:pPr>
        <w:rPr>
          <w:rFonts w:cs="Times New Roman"/>
        </w:rPr>
      </w:pPr>
      <w:r w:rsidRPr="00EC14DE">
        <w:rPr>
          <w:rFonts w:cs="Times New Roman"/>
        </w:rPr>
        <w:t>11. Le amministrazioni pubbliche interessate svolgono le attività previste dal presente articolo con le risorse umane, strumentali e finanziarie previste a legislazione vigente, senza nuovi o maggiori oneri a carico della finanza pubblica.</w:t>
      </w:r>
    </w:p>
    <w:p w14:paraId="27538221" w14:textId="77777777" w:rsidR="00D32CB0" w:rsidRPr="00EC14DE" w:rsidRDefault="009C506A"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(Oneri di funzionamento dei centri per l’impiego</w:t>
      </w:r>
      <w:r w:rsidR="00BE3F7B" w:rsidRPr="00EC14DE">
        <w:t>)</w:t>
      </w:r>
    </w:p>
    <w:p w14:paraId="49B3EE73" w14:textId="77777777" w:rsidR="00BE3F7B" w:rsidRPr="00EC14DE" w:rsidRDefault="00BE3F7B" w:rsidP="007C594F">
      <w:pPr>
        <w:widowControl w:val="0"/>
      </w:pPr>
      <w:r w:rsidRPr="00EC14DE">
        <w:t>1. Per far fronte agli oneri di funzionamento dei centri per l’impiego correlati all’esercizio delle relative funzioni, ai sensi dell’articolo 12, comma 3-bis, ultimo periodo, del decreto-legge 28 gennaio 2019, n. 4, convertito, con modificazioni, dalla legge 28 marzo 2019, n. 26, e in connessione con l’incremento delle dotazioni organiche previsto dal Piano straordinario di potenziamento dei centri per l’impiego e delle politiche attive del lavoro di cui all’articolo 12, comma 3, del medesimo decreto-legge n. 4 del 2019, è autorizzata una spesa nel limite di 70 milioni di euro a decorrere dall’anno 2022.</w:t>
      </w:r>
    </w:p>
    <w:p w14:paraId="16CF900A" w14:textId="77777777" w:rsidR="00BE3F7B" w:rsidRPr="00EC14DE" w:rsidRDefault="00BE3F7B" w:rsidP="007C594F">
      <w:pPr>
        <w:widowControl w:val="0"/>
      </w:pPr>
      <w:r w:rsidRPr="00EC14DE">
        <w:t>2. A decorrere dall’anno 2022 è altresì autorizzata una spesa nel limite di 20 milioni di euro per far fronte agli oneri di funzionamento dei centri per l’impiego derivanti dalle attività connesse all’attuazione delle politiche attive del lavoro in favore dei giovani di età compresa tra i 16 e i 29 anni, non occupati né inseriti in un p</w:t>
      </w:r>
      <w:r w:rsidR="00EC14DE">
        <w:t>ercorso di studio o formazione.</w:t>
      </w:r>
    </w:p>
    <w:p w14:paraId="33D59671" w14:textId="77777777" w:rsidR="003A4CD3" w:rsidRPr="00EC14DE" w:rsidRDefault="00730D01" w:rsidP="0053483F">
      <w:pPr>
        <w:pStyle w:val="Titolo1"/>
      </w:pPr>
      <w:r w:rsidRPr="00EC14DE">
        <w:t>Capo II</w:t>
      </w:r>
      <w:r w:rsidR="00E102F6" w:rsidRPr="00EC14DE">
        <w:br/>
        <w:t>Pensioni</w:t>
      </w:r>
    </w:p>
    <w:p w14:paraId="23F9397B" w14:textId="77777777" w:rsidR="00E102F6" w:rsidRPr="00EC14DE" w:rsidRDefault="00E102F6"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00954C69" w:rsidRPr="00EC14DE">
        <w:br/>
        <w:t>(</w:t>
      </w:r>
      <w:r w:rsidR="00140D7D" w:rsidRPr="00EC14DE">
        <w:rPr>
          <w:rFonts w:cs="Times New Roman"/>
          <w:bCs/>
        </w:rPr>
        <w:t>Disposizioni integrative del trattamento di pensione anticipata</w:t>
      </w:r>
      <w:r w:rsidR="00140D7D" w:rsidRPr="00EC14DE">
        <w:t>)</w:t>
      </w:r>
    </w:p>
    <w:p w14:paraId="2B1EE1A7" w14:textId="77777777" w:rsidR="00140D7D" w:rsidRPr="00EC14DE" w:rsidRDefault="00140D7D" w:rsidP="007C594F">
      <w:pPr>
        <w:widowControl w:val="0"/>
        <w:rPr>
          <w:rFonts w:eastAsia="Times New Roman" w:cs="Times New Roman"/>
        </w:rPr>
      </w:pPr>
      <w:r w:rsidRPr="00EC14DE">
        <w:rPr>
          <w:rFonts w:cs="Times New Roman"/>
        </w:rPr>
        <w:t xml:space="preserve">1. </w:t>
      </w:r>
      <w:r w:rsidRPr="00EC14DE">
        <w:rPr>
          <w:rFonts w:eastAsia="Times New Roman" w:cs="Times New Roman"/>
        </w:rPr>
        <w:t>Al decreto-legge 28 gennaio 2019, n. 4, convertito</w:t>
      </w:r>
      <w:r w:rsidR="00CE300E" w:rsidRPr="00EC14DE">
        <w:rPr>
          <w:rFonts w:eastAsia="Times New Roman" w:cs="Times New Roman"/>
        </w:rPr>
        <w:t>,</w:t>
      </w:r>
      <w:r w:rsidRPr="00EC14DE">
        <w:rPr>
          <w:rFonts w:eastAsia="Times New Roman" w:cs="Times New Roman"/>
        </w:rPr>
        <w:t xml:space="preserve"> con modificazioni, dalla legge 28 marzo 2019, n. 26, sono apportate le seguenti modifiche:</w:t>
      </w:r>
    </w:p>
    <w:p w14:paraId="5AC37F76" w14:textId="77777777" w:rsidR="00140D7D" w:rsidRPr="00EC14DE" w:rsidRDefault="00140D7D" w:rsidP="007C594F">
      <w:pPr>
        <w:widowControl w:val="0"/>
        <w:rPr>
          <w:rFonts w:cs="Times New Roman"/>
        </w:rPr>
      </w:pPr>
      <w:r w:rsidRPr="00EC14DE">
        <w:rPr>
          <w:rFonts w:cs="Times New Roman"/>
        </w:rPr>
        <w:t xml:space="preserve">a) all’articolo 14, comma 1 sono aggiunti, </w:t>
      </w:r>
      <w:r w:rsidR="00CE300E" w:rsidRPr="00EC14DE">
        <w:rPr>
          <w:rFonts w:cs="Times New Roman"/>
        </w:rPr>
        <w:t xml:space="preserve">in </w:t>
      </w:r>
      <w:r w:rsidRPr="00EC14DE">
        <w:rPr>
          <w:rFonts w:cs="Times New Roman"/>
        </w:rPr>
        <w:t>fine i seguenti periodi: “I requisiti di età anagrafica e di anzianità contributiva di cui al primo periodo del presente comma sono determinati in 64 anni di età anagrafica e 38 anni di anzianità contributiva per i soggetti che maturano i requisiti nell’anno 2022. Il diritto conseguito entro il 31 dicembre 2022 può essere esercitato anche successivamente all</w:t>
      </w:r>
      <w:r w:rsidR="00F051E2" w:rsidRPr="00EC14DE">
        <w:rPr>
          <w:rFonts w:cs="Times New Roman"/>
        </w:rPr>
        <w:t>a</w:t>
      </w:r>
      <w:r w:rsidRPr="00EC14DE">
        <w:rPr>
          <w:rFonts w:cs="Times New Roman"/>
        </w:rPr>
        <w:t xml:space="preserve"> predett</w:t>
      </w:r>
      <w:r w:rsidR="00F051E2" w:rsidRPr="00EC14DE">
        <w:rPr>
          <w:rFonts w:cs="Times New Roman"/>
        </w:rPr>
        <w:t>a</w:t>
      </w:r>
      <w:r w:rsidRPr="00EC14DE">
        <w:rPr>
          <w:rFonts w:cs="Times New Roman"/>
        </w:rPr>
        <w:t xml:space="preserve"> dat</w:t>
      </w:r>
      <w:r w:rsidR="00F051E2" w:rsidRPr="00EC14DE">
        <w:rPr>
          <w:rFonts w:cs="Times New Roman"/>
        </w:rPr>
        <w:t>a</w:t>
      </w:r>
      <w:r w:rsidRPr="00EC14DE">
        <w:rPr>
          <w:rFonts w:cs="Times New Roman"/>
        </w:rPr>
        <w:t>, ferme restando le disposizioni del presente articolo.”;</w:t>
      </w:r>
    </w:p>
    <w:p w14:paraId="18FDA9C3" w14:textId="77777777" w:rsidR="00140D7D" w:rsidRPr="00EC14DE" w:rsidRDefault="00140D7D" w:rsidP="007C594F">
      <w:pPr>
        <w:widowControl w:val="0"/>
        <w:rPr>
          <w:rFonts w:cs="Times New Roman"/>
        </w:rPr>
      </w:pPr>
      <w:r w:rsidRPr="00EC14DE">
        <w:rPr>
          <w:rFonts w:cs="Times New Roman"/>
        </w:rPr>
        <w:t>b) all’articolo 14, commi 2, 3 e 6 le parole “quota 100” sono sostituite dalle seguenti: “di cui al comma 1”;</w:t>
      </w:r>
    </w:p>
    <w:p w14:paraId="566653CA" w14:textId="77777777" w:rsidR="00140D7D" w:rsidRPr="00EC14DE" w:rsidRDefault="00140D7D" w:rsidP="007C594F">
      <w:pPr>
        <w:widowControl w:val="0"/>
        <w:rPr>
          <w:rFonts w:cs="Times New Roman"/>
        </w:rPr>
      </w:pPr>
      <w:r w:rsidRPr="00EC14DE">
        <w:rPr>
          <w:rFonts w:cs="Times New Roman"/>
        </w:rPr>
        <w:t>c) all’articolo 14, comma 7, le parole “quota 100” sono sostituite dalle seguenti: “di cui al comma 1” e al secondo periodo, le parole “In sede di prima applicazione, entro il 28 febbraio 2019,” sono sostituite dalle seguenti “In sede di applicazione per l’anno 2022, entro il 28 febbraio 2022,”;</w:t>
      </w:r>
    </w:p>
    <w:p w14:paraId="2EA93DD5" w14:textId="77777777" w:rsidR="00140D7D" w:rsidRPr="00EC14DE" w:rsidRDefault="00140D7D" w:rsidP="007C594F">
      <w:pPr>
        <w:widowControl w:val="0"/>
        <w:rPr>
          <w:rFonts w:cs="Times New Roman"/>
        </w:rPr>
      </w:pPr>
      <w:r w:rsidRPr="00EC14DE">
        <w:rPr>
          <w:rFonts w:cs="Times New Roman"/>
        </w:rPr>
        <w:t>d) all’articolo 22, comma 1, le parole “quota 100 di cui al presente decreto entro il 31 dicembre 2021” sono sostituite dalle seguenti: “di cui all’articolo 14, comma 1”;</w:t>
      </w:r>
    </w:p>
    <w:p w14:paraId="2DB5D8DD" w14:textId="77777777" w:rsidR="00140D7D" w:rsidRPr="00EC14DE" w:rsidRDefault="00140D7D" w:rsidP="007C594F">
      <w:pPr>
        <w:widowControl w:val="0"/>
        <w:rPr>
          <w:rFonts w:cs="Times New Roman"/>
        </w:rPr>
      </w:pPr>
      <w:r w:rsidRPr="00EC14DE">
        <w:rPr>
          <w:rFonts w:cs="Times New Roman"/>
        </w:rPr>
        <w:t>e) all’articolo 23, comma 1, le parole “quota 100 ai sensi dell’articolo 14” sono sostituite dalle seguenti: “di cui all’articolo 14, comma 1”.</w:t>
      </w:r>
    </w:p>
    <w:p w14:paraId="344D70E0" w14:textId="77777777" w:rsidR="007A50FE" w:rsidRPr="00EC14DE" w:rsidRDefault="007A50FE" w:rsidP="007258D5">
      <w:pPr>
        <w:widowControl w:val="0"/>
        <w:rPr>
          <w:rFonts w:cs="Times New Roman"/>
        </w:rPr>
      </w:pPr>
      <w:r w:rsidRPr="00EC14DE">
        <w:rPr>
          <w:rFonts w:cs="Times New Roman"/>
        </w:rPr>
        <w:t xml:space="preserve">2. L’autorizzazione di spesa di cui all’articolo 1, comma 256, della </w:t>
      </w:r>
      <w:r w:rsidR="00E026AC" w:rsidRPr="00EC14DE">
        <w:rPr>
          <w:rFonts w:cs="Times New Roman"/>
        </w:rPr>
        <w:t>legge</w:t>
      </w:r>
      <w:r w:rsidR="003970D5">
        <w:rPr>
          <w:rFonts w:cs="Times New Roman"/>
        </w:rPr>
        <w:t xml:space="preserve"> 30 dicembre 2018, n. 145 </w:t>
      </w:r>
      <w:r w:rsidRPr="00EC14DE">
        <w:rPr>
          <w:rFonts w:cs="Times New Roman"/>
        </w:rPr>
        <w:t>è soppressa.</w:t>
      </w:r>
    </w:p>
    <w:p w14:paraId="19F00C02" w14:textId="77777777" w:rsidR="00EF2CB0" w:rsidRPr="00EC14DE" w:rsidRDefault="00A74AF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006A190F" w:rsidRPr="00EC14DE">
        <w:br/>
        <w:t>(</w:t>
      </w:r>
      <w:r w:rsidR="00CE1993" w:rsidRPr="00EC14DE">
        <w:t xml:space="preserve">Fondo </w:t>
      </w:r>
      <w:r w:rsidR="00EE64A6" w:rsidRPr="00EC14DE">
        <w:t>per</w:t>
      </w:r>
      <w:r w:rsidR="0058480B" w:rsidRPr="00EC14DE">
        <w:t xml:space="preserve"> </w:t>
      </w:r>
      <w:r w:rsidR="00EE64A6" w:rsidRPr="00EC14DE">
        <w:t>l’uscita anticipata dei lavoratori delle imprese in crisi</w:t>
      </w:r>
      <w:r w:rsidRPr="00EC14DE">
        <w:t>)</w:t>
      </w:r>
      <w:r w:rsidR="0071788A" w:rsidRPr="00EC14DE">
        <w:t xml:space="preserve"> </w:t>
      </w:r>
    </w:p>
    <w:p w14:paraId="290958E8" w14:textId="77777777" w:rsidR="0020362F" w:rsidRPr="00EC14DE" w:rsidRDefault="00202A15"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 xml:space="preserve">1. </w:t>
      </w:r>
      <w:r w:rsidR="00882C3F" w:rsidRPr="00EC14DE">
        <w:rPr>
          <w:rFonts w:ascii="Times New Roman" w:hAnsi="Times New Roman" w:cs="Times New Roman"/>
          <w:sz w:val="22"/>
          <w:szCs w:val="22"/>
        </w:rPr>
        <w:t>È</w:t>
      </w:r>
      <w:r w:rsidR="00274C85" w:rsidRPr="00EC14DE">
        <w:rPr>
          <w:rFonts w:ascii="Times New Roman" w:hAnsi="Times New Roman" w:cs="Times New Roman"/>
          <w:sz w:val="22"/>
          <w:szCs w:val="22"/>
        </w:rPr>
        <w:t xml:space="preserve"> ist</w:t>
      </w:r>
      <w:r w:rsidR="00AC1A23" w:rsidRPr="00EC14DE">
        <w:rPr>
          <w:rFonts w:ascii="Times New Roman" w:hAnsi="Times New Roman" w:cs="Times New Roman"/>
          <w:sz w:val="22"/>
          <w:szCs w:val="22"/>
        </w:rPr>
        <w:t>ituito</w:t>
      </w:r>
      <w:r w:rsidR="00274C85" w:rsidRPr="00EC14DE">
        <w:rPr>
          <w:rFonts w:ascii="Times New Roman" w:hAnsi="Times New Roman" w:cs="Times New Roman"/>
          <w:sz w:val="22"/>
          <w:szCs w:val="22"/>
        </w:rPr>
        <w:t xml:space="preserve"> </w:t>
      </w:r>
      <w:r w:rsidR="007C7545" w:rsidRPr="00EC14DE">
        <w:rPr>
          <w:rFonts w:ascii="Times New Roman" w:hAnsi="Times New Roman" w:cs="Times New Roman"/>
          <w:sz w:val="22"/>
          <w:szCs w:val="22"/>
        </w:rPr>
        <w:t>nello</w:t>
      </w:r>
      <w:r w:rsidR="00274C85" w:rsidRPr="00EC14DE">
        <w:rPr>
          <w:rFonts w:ascii="Times New Roman" w:hAnsi="Times New Roman" w:cs="Times New Roman"/>
          <w:sz w:val="22"/>
          <w:szCs w:val="22"/>
        </w:rPr>
        <w:t xml:space="preserve"> stato di previsione</w:t>
      </w:r>
      <w:r w:rsidR="00EA058B" w:rsidRPr="00EC14DE">
        <w:rPr>
          <w:rFonts w:ascii="Times New Roman" w:hAnsi="Times New Roman" w:cs="Times New Roman"/>
          <w:sz w:val="22"/>
          <w:szCs w:val="22"/>
        </w:rPr>
        <w:t xml:space="preserve"> del Ministero dello s</w:t>
      </w:r>
      <w:r w:rsidR="00E51D26" w:rsidRPr="00EC14DE">
        <w:rPr>
          <w:rFonts w:ascii="Times New Roman" w:hAnsi="Times New Roman" w:cs="Times New Roman"/>
          <w:sz w:val="22"/>
          <w:szCs w:val="22"/>
        </w:rPr>
        <w:t xml:space="preserve">viluppo economico </w:t>
      </w:r>
      <w:r w:rsidR="00274C85" w:rsidRPr="00EC14DE">
        <w:rPr>
          <w:rFonts w:ascii="Times New Roman" w:hAnsi="Times New Roman" w:cs="Times New Roman"/>
          <w:sz w:val="22"/>
          <w:szCs w:val="22"/>
        </w:rPr>
        <w:t xml:space="preserve">un fondo </w:t>
      </w:r>
      <w:r w:rsidR="00EA058B" w:rsidRPr="00EC14DE">
        <w:rPr>
          <w:rFonts w:ascii="Times New Roman" w:hAnsi="Times New Roman" w:cs="Times New Roman"/>
          <w:sz w:val="22"/>
          <w:szCs w:val="22"/>
        </w:rPr>
        <w:t>con</w:t>
      </w:r>
      <w:r w:rsidR="00153DF5" w:rsidRPr="00EC14DE">
        <w:rPr>
          <w:rFonts w:ascii="Times New Roman" w:hAnsi="Times New Roman" w:cs="Times New Roman"/>
          <w:sz w:val="22"/>
          <w:szCs w:val="22"/>
        </w:rPr>
        <w:t xml:space="preserve"> una</w:t>
      </w:r>
      <w:r w:rsidR="00EA058B" w:rsidRPr="00EC14DE">
        <w:rPr>
          <w:rFonts w:ascii="Times New Roman" w:hAnsi="Times New Roman" w:cs="Times New Roman"/>
          <w:sz w:val="22"/>
          <w:szCs w:val="22"/>
        </w:rPr>
        <w:t xml:space="preserve"> dotazione </w:t>
      </w:r>
      <w:r w:rsidR="00153DF5" w:rsidRPr="00EC14DE">
        <w:rPr>
          <w:rFonts w:ascii="Times New Roman" w:hAnsi="Times New Roman" w:cs="Times New Roman"/>
          <w:sz w:val="22"/>
          <w:szCs w:val="22"/>
        </w:rPr>
        <w:t>di</w:t>
      </w:r>
      <w:r w:rsidR="00E51D26" w:rsidRPr="00EC14DE">
        <w:rPr>
          <w:rFonts w:ascii="Times New Roman" w:hAnsi="Times New Roman" w:cs="Times New Roman"/>
          <w:sz w:val="22"/>
          <w:szCs w:val="22"/>
        </w:rPr>
        <w:t xml:space="preserve"> </w:t>
      </w:r>
      <w:r w:rsidR="004B4DA9" w:rsidRPr="00EC14DE">
        <w:rPr>
          <w:rFonts w:ascii="Times New Roman" w:hAnsi="Times New Roman" w:cs="Times New Roman"/>
          <w:b/>
          <w:sz w:val="22"/>
          <w:szCs w:val="22"/>
        </w:rPr>
        <w:t>150</w:t>
      </w:r>
      <w:r w:rsidR="00EA058B" w:rsidRPr="00EC14DE">
        <w:rPr>
          <w:rFonts w:ascii="Times New Roman" w:hAnsi="Times New Roman" w:cs="Times New Roman"/>
          <w:b/>
          <w:sz w:val="22"/>
          <w:szCs w:val="22"/>
        </w:rPr>
        <w:t xml:space="preserve"> </w:t>
      </w:r>
      <w:r w:rsidR="00EA058B" w:rsidRPr="00EC14DE">
        <w:rPr>
          <w:rFonts w:ascii="Times New Roman" w:hAnsi="Times New Roman" w:cs="Times New Roman"/>
          <w:sz w:val="22"/>
          <w:szCs w:val="22"/>
        </w:rPr>
        <w:t>mil</w:t>
      </w:r>
      <w:r w:rsidR="00E61641" w:rsidRPr="00EC14DE">
        <w:rPr>
          <w:rFonts w:ascii="Times New Roman" w:hAnsi="Times New Roman" w:cs="Times New Roman"/>
          <w:sz w:val="22"/>
          <w:szCs w:val="22"/>
        </w:rPr>
        <w:t>ioni di euro per l’anno 2022, 200</w:t>
      </w:r>
      <w:r w:rsidR="00EA058B" w:rsidRPr="00EC14DE">
        <w:rPr>
          <w:rFonts w:ascii="Times New Roman" w:hAnsi="Times New Roman" w:cs="Times New Roman"/>
          <w:sz w:val="22"/>
          <w:szCs w:val="22"/>
        </w:rPr>
        <w:t xml:space="preserve"> milioni di euro per </w:t>
      </w:r>
      <w:r w:rsidR="00E0105B" w:rsidRPr="00EC14DE">
        <w:rPr>
          <w:rFonts w:ascii="Times New Roman" w:hAnsi="Times New Roman" w:cs="Times New Roman"/>
          <w:sz w:val="22"/>
          <w:szCs w:val="22"/>
        </w:rPr>
        <w:t>ciascuno degli anni</w:t>
      </w:r>
      <w:r w:rsidR="00EA058B" w:rsidRPr="00EC14DE">
        <w:rPr>
          <w:rFonts w:ascii="Times New Roman" w:hAnsi="Times New Roman" w:cs="Times New Roman"/>
          <w:sz w:val="22"/>
          <w:szCs w:val="22"/>
        </w:rPr>
        <w:t xml:space="preserve"> 2023 e</w:t>
      </w:r>
      <w:r w:rsidR="00E0105B" w:rsidRPr="00EC14DE">
        <w:rPr>
          <w:rFonts w:ascii="Times New Roman" w:hAnsi="Times New Roman" w:cs="Times New Roman"/>
          <w:sz w:val="22"/>
          <w:szCs w:val="22"/>
        </w:rPr>
        <w:t xml:space="preserve"> </w:t>
      </w:r>
      <w:r w:rsidR="00EA058B" w:rsidRPr="00EC14DE">
        <w:rPr>
          <w:rFonts w:ascii="Times New Roman" w:hAnsi="Times New Roman" w:cs="Times New Roman"/>
          <w:sz w:val="22"/>
          <w:szCs w:val="22"/>
        </w:rPr>
        <w:t xml:space="preserve">2024, destinato </w:t>
      </w:r>
      <w:r w:rsidR="00885129" w:rsidRPr="00EC14DE">
        <w:rPr>
          <w:rFonts w:ascii="Times New Roman" w:hAnsi="Times New Roman" w:cs="Times New Roman"/>
          <w:sz w:val="22"/>
          <w:szCs w:val="22"/>
        </w:rPr>
        <w:t>a</w:t>
      </w:r>
      <w:r w:rsidR="00F12E17" w:rsidRPr="00EC14DE">
        <w:rPr>
          <w:rFonts w:ascii="Times New Roman" w:hAnsi="Times New Roman" w:cs="Times New Roman"/>
          <w:sz w:val="22"/>
          <w:szCs w:val="22"/>
        </w:rPr>
        <w:t xml:space="preserve"> favorire</w:t>
      </w:r>
      <w:r w:rsidR="00AA4D5B" w:rsidRPr="00EC14DE">
        <w:rPr>
          <w:rFonts w:ascii="Times New Roman" w:hAnsi="Times New Roman" w:cs="Times New Roman"/>
          <w:sz w:val="22"/>
          <w:szCs w:val="22"/>
        </w:rPr>
        <w:t xml:space="preserve"> l’uscita anticipata dal lavoro</w:t>
      </w:r>
      <w:r w:rsidR="00316F65" w:rsidRPr="00EC14DE">
        <w:rPr>
          <w:rFonts w:ascii="Times New Roman" w:hAnsi="Times New Roman" w:cs="Times New Roman"/>
          <w:sz w:val="22"/>
          <w:szCs w:val="22"/>
        </w:rPr>
        <w:t>, su base</w:t>
      </w:r>
      <w:r w:rsidR="00885129" w:rsidRPr="00EC14DE">
        <w:rPr>
          <w:rFonts w:ascii="Times New Roman" w:hAnsi="Times New Roman" w:cs="Times New Roman"/>
          <w:sz w:val="22"/>
          <w:szCs w:val="22"/>
        </w:rPr>
        <w:t xml:space="preserve"> convenzionale</w:t>
      </w:r>
      <w:r w:rsidR="00AA4D5B" w:rsidRPr="00EC14DE">
        <w:rPr>
          <w:rFonts w:ascii="Times New Roman" w:hAnsi="Times New Roman" w:cs="Times New Roman"/>
          <w:sz w:val="22"/>
          <w:szCs w:val="22"/>
        </w:rPr>
        <w:t>, d</w:t>
      </w:r>
      <w:r w:rsidRPr="00EC14DE">
        <w:rPr>
          <w:rFonts w:ascii="Times New Roman" w:hAnsi="Times New Roman" w:cs="Times New Roman"/>
          <w:sz w:val="22"/>
          <w:szCs w:val="22"/>
        </w:rPr>
        <w:t>ei lavoratori</w:t>
      </w:r>
      <w:r w:rsidR="00F11E45" w:rsidRPr="00EC14DE">
        <w:rPr>
          <w:rFonts w:ascii="Times New Roman" w:hAnsi="Times New Roman" w:cs="Times New Roman"/>
          <w:sz w:val="22"/>
          <w:szCs w:val="22"/>
        </w:rPr>
        <w:t xml:space="preserve"> </w:t>
      </w:r>
      <w:r w:rsidR="00184995" w:rsidRPr="00EC14DE">
        <w:rPr>
          <w:rFonts w:ascii="Times New Roman" w:hAnsi="Times New Roman" w:cs="Times New Roman"/>
          <w:sz w:val="22"/>
          <w:szCs w:val="22"/>
        </w:rPr>
        <w:t>dipendenti d</w:t>
      </w:r>
      <w:r w:rsidR="00272B49" w:rsidRPr="00EC14DE">
        <w:rPr>
          <w:rFonts w:ascii="Times New Roman" w:hAnsi="Times New Roman" w:cs="Times New Roman"/>
          <w:sz w:val="22"/>
          <w:szCs w:val="22"/>
        </w:rPr>
        <w:t>i</w:t>
      </w:r>
      <w:r w:rsidR="000A6D82" w:rsidRPr="00EC14DE">
        <w:rPr>
          <w:rFonts w:ascii="Times New Roman" w:hAnsi="Times New Roman" w:cs="Times New Roman"/>
          <w:sz w:val="22"/>
          <w:szCs w:val="22"/>
        </w:rPr>
        <w:t xml:space="preserve"> </w:t>
      </w:r>
      <w:r w:rsidR="00E61641" w:rsidRPr="00EC14DE">
        <w:rPr>
          <w:rFonts w:ascii="Times New Roman" w:hAnsi="Times New Roman" w:cs="Times New Roman"/>
          <w:sz w:val="22"/>
          <w:szCs w:val="22"/>
        </w:rPr>
        <w:t xml:space="preserve">piccole </w:t>
      </w:r>
      <w:r w:rsidR="006D0700" w:rsidRPr="00EC14DE">
        <w:rPr>
          <w:rFonts w:ascii="Times New Roman" w:hAnsi="Times New Roman" w:cs="Times New Roman"/>
          <w:sz w:val="22"/>
          <w:szCs w:val="22"/>
        </w:rPr>
        <w:t xml:space="preserve">e medie </w:t>
      </w:r>
      <w:r w:rsidR="000A6D82" w:rsidRPr="00EC14DE">
        <w:rPr>
          <w:rFonts w:ascii="Times New Roman" w:hAnsi="Times New Roman" w:cs="Times New Roman"/>
          <w:sz w:val="22"/>
          <w:szCs w:val="22"/>
        </w:rPr>
        <w:t>imprese in crisi</w:t>
      </w:r>
      <w:r w:rsidR="00051492" w:rsidRPr="00EC14DE">
        <w:rPr>
          <w:rFonts w:ascii="Times New Roman" w:hAnsi="Times New Roman" w:cs="Times New Roman"/>
          <w:sz w:val="22"/>
          <w:szCs w:val="22"/>
        </w:rPr>
        <w:t xml:space="preserve">, </w:t>
      </w:r>
      <w:r w:rsidR="00170C00" w:rsidRPr="00EC14DE">
        <w:rPr>
          <w:rFonts w:ascii="Times New Roman" w:hAnsi="Times New Roman" w:cs="Times New Roman"/>
          <w:sz w:val="22"/>
          <w:szCs w:val="22"/>
        </w:rPr>
        <w:t>che abbiano raggiunto un’e</w:t>
      </w:r>
      <w:r w:rsidR="00CF2E89" w:rsidRPr="00EC14DE">
        <w:rPr>
          <w:rFonts w:ascii="Times New Roman" w:hAnsi="Times New Roman" w:cs="Times New Roman"/>
          <w:sz w:val="22"/>
          <w:szCs w:val="22"/>
        </w:rPr>
        <w:t>tà anagrafica di almeno 62 anni</w:t>
      </w:r>
      <w:r w:rsidR="00051492" w:rsidRPr="00EC14DE">
        <w:rPr>
          <w:rFonts w:ascii="Times New Roman" w:hAnsi="Times New Roman" w:cs="Times New Roman"/>
          <w:sz w:val="22"/>
          <w:szCs w:val="22"/>
        </w:rPr>
        <w:t>.</w:t>
      </w:r>
    </w:p>
    <w:p w14:paraId="66A48E40" w14:textId="77777777" w:rsidR="00142A4A" w:rsidRPr="00EC14DE" w:rsidRDefault="006A2D3B"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2</w:t>
      </w:r>
      <w:r w:rsidR="00142A4A" w:rsidRPr="00EC14DE">
        <w:rPr>
          <w:rFonts w:ascii="Times New Roman" w:hAnsi="Times New Roman" w:cs="Times New Roman"/>
          <w:sz w:val="22"/>
          <w:szCs w:val="22"/>
        </w:rPr>
        <w:t xml:space="preserve">. Con decreto del Ministro per lo sviluppo economico, di concerto con il Ministro dell’economia e delle finanze e del Ministro del </w:t>
      </w:r>
      <w:r w:rsidR="00985997" w:rsidRPr="00EC14DE">
        <w:rPr>
          <w:rFonts w:ascii="Times New Roman" w:hAnsi="Times New Roman" w:cs="Times New Roman"/>
          <w:sz w:val="22"/>
          <w:szCs w:val="22"/>
        </w:rPr>
        <w:t xml:space="preserve">lavoro e delle politiche sociali, </w:t>
      </w:r>
      <w:r w:rsidR="00170C00" w:rsidRPr="00EC14DE">
        <w:rPr>
          <w:rFonts w:ascii="Times New Roman" w:hAnsi="Times New Roman" w:cs="Times New Roman"/>
          <w:sz w:val="22"/>
          <w:szCs w:val="22"/>
        </w:rPr>
        <w:t>da adottare entro 60 giorni dall</w:t>
      </w:r>
      <w:r w:rsidR="00985997" w:rsidRPr="00EC14DE">
        <w:rPr>
          <w:rFonts w:ascii="Times New Roman" w:hAnsi="Times New Roman" w:cs="Times New Roman"/>
          <w:sz w:val="22"/>
          <w:szCs w:val="22"/>
        </w:rPr>
        <w:t xml:space="preserve">a data di entrata in vigore della </w:t>
      </w:r>
      <w:r w:rsidR="00170C00" w:rsidRPr="00EC14DE">
        <w:rPr>
          <w:rFonts w:ascii="Times New Roman" w:hAnsi="Times New Roman" w:cs="Times New Roman"/>
          <w:sz w:val="22"/>
          <w:szCs w:val="22"/>
        </w:rPr>
        <w:t>presente</w:t>
      </w:r>
      <w:r w:rsidR="00985997" w:rsidRPr="00EC14DE">
        <w:rPr>
          <w:rFonts w:ascii="Times New Roman" w:hAnsi="Times New Roman" w:cs="Times New Roman"/>
          <w:sz w:val="22"/>
          <w:szCs w:val="22"/>
        </w:rPr>
        <w:t xml:space="preserve"> legge</w:t>
      </w:r>
      <w:r w:rsidR="00316F65" w:rsidRPr="00EC14DE">
        <w:rPr>
          <w:rFonts w:ascii="Times New Roman" w:hAnsi="Times New Roman" w:cs="Times New Roman"/>
          <w:sz w:val="22"/>
          <w:szCs w:val="22"/>
        </w:rPr>
        <w:t xml:space="preserve">, sono definiti </w:t>
      </w:r>
      <w:r w:rsidRPr="00EC14DE">
        <w:rPr>
          <w:rFonts w:ascii="Times New Roman" w:hAnsi="Times New Roman" w:cs="Times New Roman"/>
          <w:sz w:val="22"/>
          <w:szCs w:val="22"/>
        </w:rPr>
        <w:t xml:space="preserve">i criteri, le </w:t>
      </w:r>
      <w:r w:rsidR="00985997" w:rsidRPr="00EC14DE">
        <w:rPr>
          <w:rFonts w:ascii="Times New Roman" w:hAnsi="Times New Roman" w:cs="Times New Roman"/>
          <w:sz w:val="22"/>
          <w:szCs w:val="22"/>
        </w:rPr>
        <w:t>modal</w:t>
      </w:r>
      <w:r w:rsidRPr="00EC14DE">
        <w:rPr>
          <w:rFonts w:ascii="Times New Roman" w:hAnsi="Times New Roman" w:cs="Times New Roman"/>
          <w:sz w:val="22"/>
          <w:szCs w:val="22"/>
        </w:rPr>
        <w:t>ità e le procedure di erogazione delle risorse di cui al comma 1.</w:t>
      </w:r>
    </w:p>
    <w:p w14:paraId="51F22283" w14:textId="77777777" w:rsidR="00E102F6" w:rsidRPr="00EC14DE" w:rsidRDefault="00E102F6"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696384" w:rsidRPr="00EC14DE">
        <w:rPr>
          <w:rFonts w:cs="Times New Roman"/>
          <w:szCs w:val="22"/>
        </w:rPr>
        <w:t>Modifica della normativa sull’APE sociale</w:t>
      </w:r>
      <w:r w:rsidRPr="00EC14DE">
        <w:t>)</w:t>
      </w:r>
    </w:p>
    <w:p w14:paraId="5122DFB1" w14:textId="77777777" w:rsidR="00632C4B" w:rsidRPr="00EC14DE" w:rsidRDefault="00632C4B" w:rsidP="000E007F">
      <w:pPr>
        <w:widowControl w:val="0"/>
        <w:shd w:val="clear" w:color="auto" w:fill="FFFFFF"/>
        <w:spacing w:line="276" w:lineRule="auto"/>
        <w:rPr>
          <w:rFonts w:cs="Times New Roman"/>
        </w:rPr>
      </w:pPr>
      <w:r w:rsidRPr="00EC14DE">
        <w:rPr>
          <w:rFonts w:eastAsia="Times New Roman" w:cs="Times New Roman"/>
        </w:rPr>
        <w:t xml:space="preserve">1. </w:t>
      </w:r>
      <w:r w:rsidR="000E007F" w:rsidRPr="00EC14DE">
        <w:rPr>
          <w:rFonts w:eastAsia="Times New Roman" w:cs="Times New Roman"/>
        </w:rPr>
        <w:t>A</w:t>
      </w:r>
      <w:r w:rsidRPr="00EC14DE">
        <w:rPr>
          <w:rFonts w:eastAsia="Times New Roman" w:cs="Times New Roman"/>
        </w:rPr>
        <w:t>ll'articolo 1</w:t>
      </w:r>
      <w:r w:rsidR="00D601B1" w:rsidRPr="00EC14DE">
        <w:rPr>
          <w:rFonts w:eastAsia="Times New Roman" w:cs="Times New Roman"/>
        </w:rPr>
        <w:t xml:space="preserve">, comma 179, </w:t>
      </w:r>
      <w:r w:rsidRPr="00EC14DE">
        <w:rPr>
          <w:rFonts w:eastAsia="Times New Roman" w:cs="Times New Roman"/>
        </w:rPr>
        <w:t>della legge 11 dicembre 2016, n. 232,</w:t>
      </w:r>
      <w:r w:rsidR="00D601B1" w:rsidRPr="00EC14DE">
        <w:rPr>
          <w:rFonts w:eastAsia="Times New Roman" w:cs="Times New Roman"/>
        </w:rPr>
        <w:t xml:space="preserve"> </w:t>
      </w:r>
      <w:r w:rsidR="000E007F" w:rsidRPr="00EC14DE">
        <w:rPr>
          <w:rFonts w:eastAsia="Times New Roman" w:cs="Times New Roman"/>
        </w:rPr>
        <w:t xml:space="preserve">primo alinea, </w:t>
      </w:r>
      <w:r w:rsidRPr="00EC14DE">
        <w:rPr>
          <w:rFonts w:cs="Times New Roman"/>
        </w:rPr>
        <w:t>le parole</w:t>
      </w:r>
      <w:r w:rsidR="00440172" w:rsidRPr="00EC14DE">
        <w:rPr>
          <w:rFonts w:cs="Times New Roman"/>
        </w:rPr>
        <w:t xml:space="preserve"> “31 dicembre 2021” </w:t>
      </w:r>
      <w:r w:rsidRPr="00EC14DE">
        <w:rPr>
          <w:rFonts w:cs="Times New Roman"/>
        </w:rPr>
        <w:t>so</w:t>
      </w:r>
      <w:r w:rsidR="00440172" w:rsidRPr="00EC14DE">
        <w:rPr>
          <w:rFonts w:cs="Times New Roman"/>
        </w:rPr>
        <w:t xml:space="preserve">no sostituite dalle seguenti “31 dicembre 2022” </w:t>
      </w:r>
      <w:r w:rsidR="000E007F" w:rsidRPr="00EC14DE">
        <w:rPr>
          <w:rFonts w:cs="Times New Roman"/>
        </w:rPr>
        <w:t>e</w:t>
      </w:r>
      <w:r w:rsidR="007258D5" w:rsidRPr="00EC14DE">
        <w:rPr>
          <w:rFonts w:cs="Times New Roman"/>
        </w:rPr>
        <w:t>, alla lettera a),</w:t>
      </w:r>
      <w:r w:rsidR="000E007F" w:rsidRPr="00EC14DE">
        <w:rPr>
          <w:rFonts w:cs="Times New Roman"/>
        </w:rPr>
        <w:t xml:space="preserve"> le parole </w:t>
      </w:r>
      <w:r w:rsidRPr="00EC14DE">
        <w:rPr>
          <w:rFonts w:cs="Times New Roman"/>
        </w:rPr>
        <w:t xml:space="preserve">“da </w:t>
      </w:r>
      <w:r w:rsidR="00440172" w:rsidRPr="00EC14DE">
        <w:rPr>
          <w:rFonts w:cs="Times New Roman"/>
        </w:rPr>
        <w:t>almeno tre mesi” sono soppresse.</w:t>
      </w:r>
    </w:p>
    <w:p w14:paraId="41EC7CEA" w14:textId="77777777" w:rsidR="00632C4B" w:rsidRPr="00EC14DE" w:rsidRDefault="00EF5BF6" w:rsidP="00D601B1">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2</w:t>
      </w:r>
      <w:r w:rsidR="00CB6F81" w:rsidRPr="00EC14DE">
        <w:rPr>
          <w:rFonts w:ascii="Times New Roman" w:hAnsi="Times New Roman" w:cs="Times New Roman"/>
          <w:sz w:val="22"/>
          <w:szCs w:val="22"/>
        </w:rPr>
        <w:t>. L</w:t>
      </w:r>
      <w:r w:rsidR="00632C4B" w:rsidRPr="00EC14DE">
        <w:rPr>
          <w:rFonts w:ascii="Times New Roman" w:hAnsi="Times New Roman" w:cs="Times New Roman"/>
          <w:sz w:val="22"/>
          <w:szCs w:val="22"/>
        </w:rPr>
        <w:t xml:space="preserve">e disposizioni di cui alla lettera d) del comma 179 si applicano ai lavoratori dipendenti di cui alle professioni indicate </w:t>
      </w:r>
      <w:r w:rsidR="00632C4B" w:rsidRPr="00EC14DE">
        <w:rPr>
          <w:rFonts w:ascii="Times New Roman" w:hAnsi="Times New Roman" w:cs="Times New Roman"/>
          <w:b/>
          <w:sz w:val="22"/>
          <w:szCs w:val="22"/>
        </w:rPr>
        <w:t xml:space="preserve">all’allegato </w:t>
      </w:r>
      <w:r w:rsidR="002E54A7" w:rsidRPr="00EC14DE">
        <w:rPr>
          <w:rFonts w:ascii="Times New Roman" w:hAnsi="Times New Roman" w:cs="Times New Roman"/>
          <w:b/>
          <w:sz w:val="22"/>
          <w:szCs w:val="22"/>
        </w:rPr>
        <w:t>2</w:t>
      </w:r>
      <w:r w:rsidR="000A5E70" w:rsidRPr="00EC14DE">
        <w:rPr>
          <w:rFonts w:ascii="Times New Roman" w:hAnsi="Times New Roman" w:cs="Times New Roman"/>
          <w:sz w:val="22"/>
          <w:szCs w:val="22"/>
        </w:rPr>
        <w:t xml:space="preserve"> annesso alla presente legge.</w:t>
      </w:r>
    </w:p>
    <w:p w14:paraId="28810143" w14:textId="77777777" w:rsidR="00FF58B6" w:rsidRPr="00EC14DE" w:rsidRDefault="00EF5BF6" w:rsidP="00CB2DF0">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3</w:t>
      </w:r>
      <w:r w:rsidR="00632C4B" w:rsidRPr="00EC14DE">
        <w:rPr>
          <w:rFonts w:ascii="Times New Roman" w:hAnsi="Times New Roman" w:cs="Times New Roman"/>
          <w:sz w:val="22"/>
          <w:szCs w:val="22"/>
        </w:rPr>
        <w:t>. L'autorizzazione di spesa di cui al comma 186 dell'articolo 1 della legge 11 dicembre 2016, n. 232, e successive modificazioni e integrazioni, è incrementata di 141,4 milioni di euro per l'anno 2022, 275,0 milioni di euro per l'anno 2023, 247,6 milioni di euro per l'anno 2024, 185,2 milioni di euro per l'anno 2025, 104,5 milioni di euro per l'anno 2026 e di 16,9 milioni di euro per l’anno per l’anno 2027. Le disposizioni di cui al secondo e terzo periodo del comma 165, dell'articolo 1 della legge 27 dicembre 2017, n. 205 si applicano anche con riferimento ai soggetti che verranno a trovarsi nelle condi</w:t>
      </w:r>
      <w:r w:rsidR="00CB2DF0" w:rsidRPr="00EC14DE">
        <w:rPr>
          <w:rFonts w:ascii="Times New Roman" w:hAnsi="Times New Roman" w:cs="Times New Roman"/>
          <w:sz w:val="22"/>
          <w:szCs w:val="22"/>
        </w:rPr>
        <w:t>zioni indicate per l’anno 2022.</w:t>
      </w:r>
    </w:p>
    <w:p w14:paraId="781A4286" w14:textId="77777777" w:rsidR="00391F14" w:rsidRPr="00EC14DE" w:rsidRDefault="009E11E8"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(Opzione donna)</w:t>
      </w:r>
      <w:r w:rsidR="00877E01" w:rsidRPr="00EC14DE">
        <w:t xml:space="preserve"> </w:t>
      </w:r>
    </w:p>
    <w:p w14:paraId="2277110F" w14:textId="77777777" w:rsidR="00BB3E4C" w:rsidRPr="00EC14DE" w:rsidRDefault="00BB3E4C" w:rsidP="00BB3E4C">
      <w:pPr>
        <w:rPr>
          <w:lang w:eastAsia="it-IT"/>
        </w:rPr>
      </w:pPr>
      <w:r w:rsidRPr="00EC14DE">
        <w:t>1. All’articolo 16 del decreto-legge 28 gennaio 2019, n. 4, convertito, con modificazioni, dalla legge 28 marzo 2019, n. 26, al comma 1, le parole «31 dicembre 2020» sono sostituite dalle seguenti: «31 dicembre 2021» e, al comma 3, le parole «entro il 2</w:t>
      </w:r>
      <w:r w:rsidR="00CE3D4B" w:rsidRPr="00EC14DE">
        <w:t>8</w:t>
      </w:r>
      <w:r w:rsidRPr="00EC14DE">
        <w:t xml:space="preserve"> febbraio 2021» sono sostituite dalle seguenti: «entro il 28 febbraio 2022».</w:t>
      </w:r>
    </w:p>
    <w:p w14:paraId="4CD62206" w14:textId="77777777" w:rsidR="007A5E2A" w:rsidRPr="00EC14DE" w:rsidRDefault="007A5E2A" w:rsidP="007C594F">
      <w:pPr>
        <w:pStyle w:val="Titolo3"/>
        <w:keepNext w:val="0"/>
        <w:keepLines w:val="0"/>
        <w:widowControl w:val="0"/>
      </w:pPr>
      <w:r w:rsidRPr="009B28A6">
        <w:rPr>
          <w:highlight w:val="yellow"/>
        </w:rPr>
        <w:t xml:space="preserve">ART. </w:t>
      </w:r>
      <w:r w:rsidRPr="009B28A6">
        <w:rPr>
          <w:highlight w:val="yellow"/>
        </w:rPr>
        <w:fldChar w:fldCharType="begin"/>
      </w:r>
      <w:r w:rsidRPr="009B28A6">
        <w:rPr>
          <w:highlight w:val="yellow"/>
        </w:rPr>
        <w:instrText xml:space="preserve"> AUTONUM  \* Arabic </w:instrText>
      </w:r>
      <w:r w:rsidRPr="009B28A6">
        <w:rPr>
          <w:highlight w:val="yellow"/>
        </w:rPr>
        <w:fldChar w:fldCharType="end"/>
      </w:r>
      <w:r w:rsidRPr="009B28A6">
        <w:rPr>
          <w:highlight w:val="yellow"/>
        </w:rPr>
        <w:br/>
        <w:t>(Istituzione di un fondo per la realizzazione di interventi perequativi di natura previdenziale per il personale delle Forze armate, delle Forze di polizia e del Corpo nazionale dei vigili del fuoco)</w:t>
      </w:r>
      <w:r w:rsidRPr="00EC14DE">
        <w:t xml:space="preserve"> </w:t>
      </w:r>
    </w:p>
    <w:p w14:paraId="4DE41526" w14:textId="77777777" w:rsidR="007A5E2A" w:rsidRPr="00EC14DE" w:rsidRDefault="007A5E2A" w:rsidP="007C594F">
      <w:pPr>
        <w:widowControl w:val="0"/>
        <w:rPr>
          <w:rFonts w:cs="Times New Roman"/>
        </w:rPr>
      </w:pPr>
      <w:r w:rsidRPr="00EC14DE">
        <w:rPr>
          <w:rFonts w:cs="Times New Roman"/>
        </w:rPr>
        <w:t>1. In relazione alla specificità del personale delle Forze armate, delle Forze di polizia e del Corpo nazionale dei vigili del fuoco, prevista dall’articolo 19 della legge 4 novembre 2010, n. 183, nello stato di previsione del Ministero dell’economia e delle finanze è istituito un fondo con una dotazione di 20 milioni di euro per l’anno 2022, 40 milioni di euro per l’anno 2023 e 60 milioni di euro a decorrere dall’anno 2024, da destinare all’adozione di provvedimenti normativi volti alla progressiva perequazione del relativo regime previdenziale, attraverso l’introduzione, nell’ambito degli istituti già previsti per il medesimo personale, di misure:</w:t>
      </w:r>
    </w:p>
    <w:p w14:paraId="420C2BE5" w14:textId="77777777" w:rsidR="007A5E2A" w:rsidRPr="00EC14DE" w:rsidRDefault="007A5E2A" w:rsidP="000831E3">
      <w:pPr>
        <w:widowControl w:val="0"/>
        <w:numPr>
          <w:ilvl w:val="0"/>
          <w:numId w:val="36"/>
        </w:numPr>
        <w:rPr>
          <w:rFonts w:cs="Times New Roman"/>
        </w:rPr>
      </w:pPr>
      <w:r w:rsidRPr="00EC14DE">
        <w:rPr>
          <w:rFonts w:cs="Times New Roman"/>
        </w:rPr>
        <w:t>compensative rispetto agli effetti derivanti dalla liquidazione dei trattamenti pensionistici per il personale in servizio il giorno precedente la data di entrata in vigore del relativo provvedimento normativo;</w:t>
      </w:r>
    </w:p>
    <w:p w14:paraId="67FCC8E8" w14:textId="77777777" w:rsidR="007A5E2A" w:rsidRPr="00EC14DE" w:rsidRDefault="007A5E2A" w:rsidP="000831E3">
      <w:pPr>
        <w:pStyle w:val="Paragrafoelenco"/>
        <w:widowControl w:val="0"/>
        <w:numPr>
          <w:ilvl w:val="0"/>
          <w:numId w:val="36"/>
        </w:numPr>
        <w:spacing w:line="240" w:lineRule="auto"/>
        <w:contextualSpacing w:val="0"/>
        <w:jc w:val="both"/>
        <w:rPr>
          <w:rFonts w:ascii="Times New Roman" w:hAnsi="Times New Roman" w:cs="Times New Roman"/>
        </w:rPr>
      </w:pPr>
      <w:r w:rsidRPr="00EC14DE">
        <w:rPr>
          <w:rFonts w:ascii="Times New Roman" w:hAnsi="Times New Roman" w:cs="Times New Roman"/>
        </w:rPr>
        <w:t xml:space="preserve"> integrative delle forme pensionistiche complementari di cui all’articolo 26, comma 20, della legge n. 448 del 1998, per il personale immesso nei ruoli delle Forze armate, delle Forze di polizia e del Corpo nazionale dei vigili del fuoco, a decorrere dalla data di entrata in vigore del relativo provvedimento normativo. </w:t>
      </w:r>
    </w:p>
    <w:p w14:paraId="67B44884" w14:textId="77777777" w:rsidR="007A5E2A" w:rsidRPr="00EC14DE" w:rsidRDefault="007A5E2A" w:rsidP="007C594F">
      <w:pPr>
        <w:widowControl w:val="0"/>
        <w:rPr>
          <w:rFonts w:cs="Times New Roman"/>
        </w:rPr>
      </w:pPr>
      <w:r w:rsidRPr="00EC14DE">
        <w:rPr>
          <w:rFonts w:cs="Times New Roman"/>
        </w:rPr>
        <w:t xml:space="preserve">2. Le risorse di cui al comma 1 sono </w:t>
      </w:r>
      <w:r w:rsidR="00635CA0" w:rsidRPr="00EC14DE">
        <w:rPr>
          <w:rFonts w:cs="Times New Roman"/>
        </w:rPr>
        <w:t>utilizzate garantendo che almeno il 50 per cento</w:t>
      </w:r>
      <w:r w:rsidRPr="00EC14DE">
        <w:rPr>
          <w:rFonts w:cs="Times New Roman"/>
        </w:rPr>
        <w:t xml:space="preserve"> sia destinato all</w:t>
      </w:r>
      <w:r w:rsidR="00635CA0" w:rsidRPr="00EC14DE">
        <w:rPr>
          <w:rFonts w:cs="Times New Roman"/>
        </w:rPr>
        <w:t>e</w:t>
      </w:r>
      <w:r w:rsidRPr="00EC14DE">
        <w:rPr>
          <w:rFonts w:cs="Times New Roman"/>
        </w:rPr>
        <w:t xml:space="preserve"> finalità di cui alla lettera b) del medesimo comma.</w:t>
      </w:r>
    </w:p>
    <w:p w14:paraId="0A4EE0CC" w14:textId="77777777" w:rsidR="003A104C" w:rsidRPr="00EC14DE" w:rsidRDefault="003A104C"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Fonts w:ascii="CIDFont+F1" w:hAnsi="CIDFont+F1" w:cs="CIDFont+F1"/>
        </w:rPr>
        <w:t>(</w:t>
      </w:r>
      <w:r w:rsidRPr="00EC14DE">
        <w:t>Applicazione al personale delle Forze di polizia ad ordinamento civile dell’articolo 54 del decreto del Presidente della Repubblica 29 dicembre 1973, n. 1092)</w:t>
      </w:r>
    </w:p>
    <w:p w14:paraId="0F12BAB8" w14:textId="77777777" w:rsidR="003A104C" w:rsidRPr="00EC14DE" w:rsidRDefault="003A104C" w:rsidP="007C594F">
      <w:pPr>
        <w:widowControl w:val="0"/>
        <w:autoSpaceDE w:val="0"/>
        <w:autoSpaceDN w:val="0"/>
        <w:adjustRightInd w:val="0"/>
        <w:rPr>
          <w:rFonts w:cs="Times New Roman"/>
        </w:rPr>
      </w:pPr>
      <w:r w:rsidRPr="00EC14DE">
        <w:rPr>
          <w:rFonts w:cs="Times New Roman"/>
        </w:rPr>
        <w:t>1. Al personale delle Forze di polizia ad ordinamento civile, in possesso, alla data del 31 dicembre 1995, di un’anzianità contributiva inferiore a diciotto anni, effettivamente maturati, si applica, in relazione alla specificità prevista dall’articolo 19 della legge 4 novembre 2010, n. 183, l’articolo 54 del decreto del Presidente della Repubblica 29 dicembre 1973, n. 1092</w:t>
      </w:r>
      <w:r w:rsidR="00B7228B" w:rsidRPr="00EC14DE">
        <w:rPr>
          <w:rFonts w:cs="Times New Roman"/>
        </w:rPr>
        <w:t>,</w:t>
      </w:r>
      <w:r w:rsidRPr="00EC14DE">
        <w:rPr>
          <w:rFonts w:cs="Times New Roman"/>
        </w:rPr>
        <w:t xml:space="preserve"> ai fini del calcolo della quota retributiva della pensione da liquidarsi con il sistema misto, con applicazione dell’aliquota del 2,44 per cento per ogni anno utile.</w:t>
      </w:r>
    </w:p>
    <w:p w14:paraId="5C91D8B1" w14:textId="77777777" w:rsidR="00BF1B19" w:rsidRPr="00EC14DE" w:rsidRDefault="0098589C" w:rsidP="007C594F">
      <w:pPr>
        <w:widowControl w:val="0"/>
        <w:autoSpaceDE w:val="0"/>
        <w:autoSpaceDN w:val="0"/>
        <w:adjustRightInd w:val="0"/>
        <w:rPr>
          <w:rFonts w:cs="Times New Roman"/>
        </w:rPr>
      </w:pPr>
      <w:r w:rsidRPr="00EC14DE">
        <w:rPr>
          <w:rFonts w:cs="Times New Roman"/>
        </w:rPr>
        <w:t>2. Per l’attuazione del comma 1, è autorizzata la spesa di 28.214.318 euro per l’anno 2022, 32.527.983 euro per l’anno 2023, 46.764.831 per l’anno 2024, 39.840.709 euro per l’anno 2025, 43.000.595 euro per l’anno 2026, 46.901.974 euro, per l’anno 2027, 49.248.807 per l’anno 2028, 49.927.172 per l’anno 2029, 54.721.615 per l’anno 2030 e 57.469.415 euro a decorrere dall’anno 2031.</w:t>
      </w:r>
    </w:p>
    <w:p w14:paraId="6232F2D0" w14:textId="77777777" w:rsidR="0076480C" w:rsidRPr="00EC14DE" w:rsidRDefault="0076480C"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Pr="00EC14DE">
        <w:rPr>
          <w:rFonts w:cs="Times New Roman"/>
          <w:szCs w:val="22"/>
        </w:rPr>
        <w:t>Norme a garanzia delle prestazioni previdenziali in favore dei giornalisti</w:t>
      </w:r>
      <w:r w:rsidRPr="00EC14DE">
        <w:t xml:space="preserve">) </w:t>
      </w:r>
    </w:p>
    <w:p w14:paraId="579A00B5" w14:textId="77777777" w:rsidR="0076480C" w:rsidRPr="00EC14DE" w:rsidRDefault="0076480C" w:rsidP="007C594F">
      <w:pPr>
        <w:widowControl w:val="0"/>
        <w:rPr>
          <w:rFonts w:cs="Times New Roman"/>
        </w:rPr>
      </w:pPr>
      <w:r w:rsidRPr="00EC14DE">
        <w:rPr>
          <w:rFonts w:cs="Times New Roman"/>
        </w:rPr>
        <w:t>1. Al fine di garantire la tutela delle prestazioni previdenziali in favore dei giornalisti, con effetto dal 1° luglio 2022, la funzione previdenziale svolta dall'Istituto nazionale di previdenza dei giornalisti italiani "Giovanni Amendola" (INPGI) ai sensi dell’articolo 1</w:t>
      </w:r>
      <w:r w:rsidR="00B7228B" w:rsidRPr="00EC14DE">
        <w:rPr>
          <w:rFonts w:cs="Times New Roman"/>
        </w:rPr>
        <w:t>,</w:t>
      </w:r>
      <w:r w:rsidRPr="00EC14DE">
        <w:rPr>
          <w:rFonts w:cs="Times New Roman"/>
        </w:rPr>
        <w:t xml:space="preserve"> della legge 20 dicembre 1951, n. 1564, in regime di sostitutività </w:t>
      </w:r>
      <w:bookmarkStart w:id="11" w:name="_Hlk85104204"/>
      <w:r w:rsidRPr="00EC14DE">
        <w:rPr>
          <w:rFonts w:cs="Times New Roman"/>
        </w:rPr>
        <w:t>delle corrispondenti forme di previdenza obbligatoria</w:t>
      </w:r>
      <w:bookmarkEnd w:id="11"/>
      <w:r w:rsidRPr="00EC14DE">
        <w:rPr>
          <w:rFonts w:cs="Times New Roman"/>
        </w:rPr>
        <w:t xml:space="preserve">, è trasferita, limitatamente alla gestione sostitutiva, all'Istituto nazionale di previdenza sociale (INPS) che succede nei relativi rapporti attivi e passivi. Con effetto dalla medesima data sono iscritti all'assicurazione generale obbligatoria per l'invalidità, la vecchiaia e i superstiti dei lavoratori dipendenti i giornalisti professionisti, pubblicisti e i praticanti titolari di un rapporto di lavoro subordinato di natura giornalistica, nonché, con evidenza contabile separata, i titolari di posizioni assicurative e titolari di trattamenti pensionistici diretti e ai superstiti già iscritti presso la medesima forma. </w:t>
      </w:r>
    </w:p>
    <w:p w14:paraId="4A1A1637" w14:textId="77777777" w:rsidR="0076480C" w:rsidRPr="00EC14DE" w:rsidRDefault="0076480C" w:rsidP="007C594F">
      <w:pPr>
        <w:widowControl w:val="0"/>
        <w:rPr>
          <w:rFonts w:cs="Times New Roman"/>
        </w:rPr>
      </w:pPr>
      <w:r w:rsidRPr="00EC14DE">
        <w:rPr>
          <w:rFonts w:cs="Times New Roman"/>
        </w:rPr>
        <w:t>2. Il regime pensionistico dei soggetti di cui al comma 1 è uniformato, nel rispetto del principio del pro-rata, a quello degli iscritti al Fondo pensioni lavoratori dipendenti con effetto dal 1° luglio 2022. In particolare, per gli assicurati presso la gestione sostitutiva dell’INPGI, l'importo della pensione è determinato dalla somma:</w:t>
      </w:r>
    </w:p>
    <w:p w14:paraId="65D31C7C" w14:textId="77777777" w:rsidR="0076480C" w:rsidRPr="00EC14DE" w:rsidRDefault="0076480C" w:rsidP="007C594F">
      <w:pPr>
        <w:widowControl w:val="0"/>
        <w:ind w:left="284"/>
        <w:rPr>
          <w:rFonts w:cs="Times New Roman"/>
        </w:rPr>
      </w:pPr>
      <w:r w:rsidRPr="00EC14DE">
        <w:rPr>
          <w:rFonts w:cs="Times New Roman"/>
        </w:rPr>
        <w:t xml:space="preserve">a) delle quote di pensione corrispondenti alle anzianità contributive acquisite fino al 30 giugno 2022 calcolate applicando le disposizioni vigenti </w:t>
      </w:r>
      <w:bookmarkStart w:id="12" w:name="_Hlk85033478"/>
      <w:r w:rsidRPr="00EC14DE">
        <w:rPr>
          <w:rFonts w:cs="Times New Roman"/>
        </w:rPr>
        <w:t>presso l’INPGI</w:t>
      </w:r>
      <w:bookmarkEnd w:id="12"/>
      <w:r w:rsidRPr="00EC14DE">
        <w:rPr>
          <w:rFonts w:cs="Times New Roman"/>
        </w:rPr>
        <w:t>;</w:t>
      </w:r>
    </w:p>
    <w:p w14:paraId="6EF8BF73" w14:textId="77777777" w:rsidR="0076480C" w:rsidRPr="00EC14DE" w:rsidRDefault="0076480C" w:rsidP="007C594F">
      <w:pPr>
        <w:widowControl w:val="0"/>
        <w:ind w:left="284"/>
        <w:rPr>
          <w:rFonts w:cs="Times New Roman"/>
        </w:rPr>
      </w:pPr>
      <w:r w:rsidRPr="00EC14DE">
        <w:rPr>
          <w:rFonts w:cs="Times New Roman"/>
        </w:rPr>
        <w:t>b) della quota di pensione corrispondente alle anzianità contributive acquisite a decorrere dal 1° luglio 2022, applicando le disposizioni vigenti nel Fondo pensioni lavoratori dipendenti.</w:t>
      </w:r>
    </w:p>
    <w:p w14:paraId="57D58906" w14:textId="77777777" w:rsidR="0076480C" w:rsidRPr="00EC14DE" w:rsidRDefault="0076480C" w:rsidP="007C594F">
      <w:pPr>
        <w:widowControl w:val="0"/>
        <w:rPr>
          <w:rFonts w:cs="Times New Roman"/>
        </w:rPr>
      </w:pPr>
      <w:r w:rsidRPr="00EC14DE">
        <w:rPr>
          <w:rFonts w:cs="Times New Roman"/>
        </w:rPr>
        <w:t>3. Fermo restando quanto previsto al comma 2, ai soggetti già assicurati presso la gestione sostitutiva dell’INPGI per i quali il primo accredito contributivo decorre in data compresa tra il 1° gennaio 1996 e il 31 dicembre 2016, non si applica il massimale contributivo di cui all'articolo 2, comma 18, secondo periodo, della legge 8 agosto 1995, n. 335, e successive modificazioni e integrazioni. Il meccanismo del massimale contributivo di cui alla suddetta disposizione si applica ai soggetti già assicurati presso la gestione sostitutiva dell’INPGI con primo accredito contributivo decorrente in data successiva al 31 dicembre 2016, per i quali il trattamento pensionistico è calcolato esclusivamente con il sistema di calcolo contributivo.</w:t>
      </w:r>
    </w:p>
    <w:p w14:paraId="35F69AE6" w14:textId="77777777" w:rsidR="0076480C" w:rsidRPr="00EC14DE" w:rsidRDefault="0076480C" w:rsidP="007C594F">
      <w:pPr>
        <w:widowControl w:val="0"/>
        <w:rPr>
          <w:rFonts w:cs="Times New Roman"/>
        </w:rPr>
      </w:pPr>
      <w:r w:rsidRPr="00EC14DE">
        <w:rPr>
          <w:rFonts w:cs="Times New Roman"/>
        </w:rPr>
        <w:t>4. Fermo restando quanto previsto al comma 2, ai fini del diritto al trattamento pensionistico, i soggetti già assicurati presso la gestione sostitutiva dell’INPGI che abbiano maturato entro il 30 giugno 2022 i requisiti previsti dalla normativa vigente presso l’INPGI alla predetta data conseguono il diritto alla prestazione pensionistica secondo la medesima normativa.</w:t>
      </w:r>
    </w:p>
    <w:p w14:paraId="50A13CB9" w14:textId="77777777" w:rsidR="0076480C" w:rsidRPr="00EC14DE" w:rsidRDefault="0076480C" w:rsidP="007C594F">
      <w:pPr>
        <w:widowControl w:val="0"/>
        <w:rPr>
          <w:rFonts w:cs="Times New Roman"/>
        </w:rPr>
      </w:pPr>
      <w:r w:rsidRPr="00EC14DE">
        <w:rPr>
          <w:rFonts w:cs="Times New Roman"/>
        </w:rPr>
        <w:t>5. Il comitato di cui all'articolo 22 della legge 9 marzo 1989, n. 88, è integrato, con decreto del Ministro del lavoro e delle politiche sociali, da un rappresentante dell'organizzazione sindacale maggiormente rappresentativa della categoria dei giornalisti, limitatamente alle adunanze e alle problematiche concernenti i soggetti di cui al comma 1.</w:t>
      </w:r>
    </w:p>
    <w:p w14:paraId="54A376DF" w14:textId="77777777" w:rsidR="0076480C" w:rsidRPr="00EC14DE" w:rsidRDefault="0076480C" w:rsidP="007C594F">
      <w:pPr>
        <w:widowControl w:val="0"/>
        <w:rPr>
          <w:rFonts w:cs="Times New Roman"/>
        </w:rPr>
      </w:pPr>
      <w:r w:rsidRPr="00EC14DE">
        <w:rPr>
          <w:rFonts w:cs="Times New Roman"/>
        </w:rPr>
        <w:t>6. A decorrere dal 1° luglio 2022 e fino al 31 dicembre 2023, i trattamenti di disoccupazione e di cassa integrazione guadagni sono riconosciuti ai giornalisti aventi diritto secondo le regole previste dalla normativa regolamentare vigente presso l’INPGI alla data del 30 giugno 2022. I trattamenti sono erogati a carico della Gestione prestazioni temporanee ai lavoratori dipendenti, di cui all'articolo 24 della legge 9 marzo 1989, n. 88 alla quale afferisce la contribuzione per lo stesso periodo. A decorrere dal 1° gennaio 2024 si applica la disciplina prevista per la generalità dei lavoratori iscritti al Fondo pensioni lavoratori dipendenti.</w:t>
      </w:r>
    </w:p>
    <w:p w14:paraId="1E1437E8" w14:textId="77777777" w:rsidR="0076480C" w:rsidRPr="00EC14DE" w:rsidRDefault="0076480C" w:rsidP="007C594F">
      <w:pPr>
        <w:widowControl w:val="0"/>
        <w:rPr>
          <w:rFonts w:cs="Times New Roman"/>
        </w:rPr>
      </w:pPr>
      <w:r w:rsidRPr="00EC14DE">
        <w:rPr>
          <w:rFonts w:cs="Times New Roman"/>
        </w:rPr>
        <w:t xml:space="preserve">7. A decorrere dal 1° luglio 2022 e fino al 31 dicembre 2023 l’assicurazione infortuni continua a essere gestita secondo le regole previste dalla normativa regolamentare vigente presso l’INPGI alla data del 30 giugno 2022. I trattamenti sono erogati a carico dell’Istituto nazionale per l’assicurazione contro gli infortuni sul lavoro (INAIL), al quale afferisce la relativa contribuzione. A decorrere dal 1° gennaio 2024 si applica la disciplina prevista per la generalità dei lavoratori iscritti al Fondo pensioni lavoratori dipendenti. </w:t>
      </w:r>
    </w:p>
    <w:p w14:paraId="08B19288" w14:textId="77777777" w:rsidR="0076480C" w:rsidRPr="00EC14DE" w:rsidRDefault="0076480C" w:rsidP="007C594F">
      <w:pPr>
        <w:widowControl w:val="0"/>
        <w:rPr>
          <w:rFonts w:cs="Times New Roman"/>
        </w:rPr>
      </w:pPr>
      <w:r w:rsidRPr="00EC14DE">
        <w:rPr>
          <w:rFonts w:cs="Times New Roman"/>
        </w:rPr>
        <w:t>8. Al fine di garantire la continuità delle funzioni trasferite ai sensi del presente articolo, un contingente di personale non superiore a 100 unità selezionato, nell’ambito dei dipendenti a tempo indeterminato in servizio presso l’INPGI alla data del 31 dicembre 2021, attraverso una procedura di selezione finalizzata all'accertamento dell'idoneità in relazione al profilo professionale di destinazione, nonché alla valutazione delle capacità in ordine alle funzioni da svolgere, è inquadrato presso l’INPS. La procedura di selezione è completata entro tre mesi dalla data della pubblicazione del decreto di cui al comma 9. Con decreto del Ministro del lavoro e delle politiche sociali, di concerto con il Ministro dell'economia e delle finanze e con il Ministro per la semplificazione e la pubblica amministrazione, il personale che ottiene una valutazione positiva nella procedura di selezione è inquadrato nei relativi ruoli sulla base della tabella di comparazione di cui al comma 9. Conseguentemente la dotazione organica dell'INPS è incrementata di un numero di posti corrispondente alle unità di personale trasferite.</w:t>
      </w:r>
    </w:p>
    <w:p w14:paraId="1F4F1751" w14:textId="77777777" w:rsidR="0076480C" w:rsidRPr="00EC14DE" w:rsidRDefault="0076480C" w:rsidP="007C594F">
      <w:pPr>
        <w:widowControl w:val="0"/>
        <w:rPr>
          <w:rFonts w:cs="Times New Roman"/>
        </w:rPr>
      </w:pPr>
      <w:r w:rsidRPr="00EC14DE">
        <w:rPr>
          <w:rFonts w:cs="Times New Roman"/>
        </w:rPr>
        <w:t>9. Con decreto del Ministro del lavoro e delle politiche sociali, di concerto con il Ministro dell'economia e delle finanze e con il Ministro per la pubblica amministrazione, da emanarsi entro sessanta giorni dalla data di entrata in vigore della presente legge, sono stabilite, in conformità ai principi stabiliti dall'articolo 35, comma 3, del decreto legislativo 30 marzo 2001, n. 165, le modalità per lo svolgimento della procedura di selezione ed è definita la tabella di comparazione applicabile ai fini dell’inquadramento nei ruoli dell’IN</w:t>
      </w:r>
      <w:r w:rsidR="001C4CDC" w:rsidRPr="00EC14DE">
        <w:rPr>
          <w:rFonts w:cs="Times New Roman"/>
        </w:rPr>
        <w:t>PS del personale selezionato, nei limiti delle riso</w:t>
      </w:r>
      <w:r w:rsidR="007B02E5" w:rsidRPr="00EC14DE">
        <w:rPr>
          <w:rFonts w:cs="Times New Roman"/>
        </w:rPr>
        <w:t>rse finanziarie di cui al comma 1</w:t>
      </w:r>
      <w:r w:rsidR="002767E6" w:rsidRPr="00EC14DE">
        <w:rPr>
          <w:rFonts w:cs="Times New Roman"/>
        </w:rPr>
        <w:t>3</w:t>
      </w:r>
      <w:r w:rsidR="001C4CDC" w:rsidRPr="00EC14DE">
        <w:rPr>
          <w:rFonts w:cs="Times New Roman"/>
        </w:rPr>
        <w:t>.</w:t>
      </w:r>
    </w:p>
    <w:p w14:paraId="383E42D6" w14:textId="77777777" w:rsidR="005528C8" w:rsidRPr="00EC14DE" w:rsidRDefault="005528C8" w:rsidP="007C594F">
      <w:pPr>
        <w:widowControl w:val="0"/>
        <w:rPr>
          <w:rFonts w:cs="Times New Roman"/>
          <w:strike/>
        </w:rPr>
      </w:pPr>
      <w:r w:rsidRPr="00EC14DE">
        <w:rPr>
          <w:rFonts w:cs="Times New Roman"/>
        </w:rPr>
        <w:t>10. I dipendenti provenienti dall’INPGI mantengono il trattamento economico fisso percepito alla data dell'inquadramento, nonché il regime previdenziale previsto per essi alla stessa data. Nel caso in cui il suddetto trattamento economico risulti più elevato rispetto a quello in godimento al personale già dipendente dell’INPS, è riconosciuto, per la differenza, un assegno ad personam, riassorbibile con i successivi miglioramenti economici a qualsiasi titolo conseguiti.</w:t>
      </w:r>
      <w:r w:rsidRPr="00EC14DE">
        <w:rPr>
          <w:rFonts w:cs="Times New Roman"/>
          <w:strike/>
        </w:rPr>
        <w:t xml:space="preserve"> </w:t>
      </w:r>
    </w:p>
    <w:p w14:paraId="4796DF5D" w14:textId="77777777" w:rsidR="002767E6" w:rsidRPr="00EC14DE" w:rsidRDefault="002767E6" w:rsidP="002767E6">
      <w:pPr>
        <w:widowControl w:val="0"/>
        <w:rPr>
          <w:rFonts w:cs="Times New Roman"/>
        </w:rPr>
      </w:pPr>
      <w:r w:rsidRPr="00EC14DE">
        <w:rPr>
          <w:rFonts w:cs="Times New Roman"/>
        </w:rPr>
        <w:t xml:space="preserve">11. Al fine di favorire una rapida ed efficace integrazione delle funzioni, è costituito un Comitato di integrazione composto dal direttore generale e da tre dirigenti dell'INPGI, in carica alla data del 31 dicembre 2021, nonché da quattro dirigenti incaricati di funzioni di livello dirigenziale generale dell'INPS, coordinati dal direttore generale dell’INPS, con il compito di pervenire alla unificazione delle procedure operative e correnti entro il 31 dicembre 2022. Ai componenti del Comitato non possono essere corrisposti gettoni di presenza, compensi, rimborsi spese o altri emolumenti comunque denominati. Dall'attuazione del presente comma non devono derivare oneri aggiuntivi per la finanza pubblica. </w:t>
      </w:r>
      <w:r w:rsidR="00D14F7B" w:rsidRPr="00EC14DE">
        <w:rPr>
          <w:rFonts w:cs="Times New Roman"/>
        </w:rPr>
        <w:t xml:space="preserve">Il Comitato </w:t>
      </w:r>
      <w:r w:rsidR="005B72B4" w:rsidRPr="00EC14DE">
        <w:rPr>
          <w:rFonts w:cs="Times New Roman"/>
        </w:rPr>
        <w:t>esercita le funzioni di cui al periodo precedente</w:t>
      </w:r>
      <w:r w:rsidR="00D14F7B" w:rsidRPr="00EC14DE">
        <w:rPr>
          <w:rFonts w:cs="Times New Roman"/>
        </w:rPr>
        <w:t xml:space="preserve"> fino al 30 giugno 2022.</w:t>
      </w:r>
    </w:p>
    <w:p w14:paraId="0203C18A" w14:textId="77777777" w:rsidR="0076480C" w:rsidRPr="00EC14DE" w:rsidRDefault="0076480C" w:rsidP="007C594F">
      <w:pPr>
        <w:widowControl w:val="0"/>
        <w:rPr>
          <w:rFonts w:cs="Times New Roman"/>
        </w:rPr>
      </w:pPr>
      <w:r w:rsidRPr="00EC14DE">
        <w:rPr>
          <w:rFonts w:cs="Times New Roman"/>
        </w:rPr>
        <w:t>1</w:t>
      </w:r>
      <w:r w:rsidR="002767E6" w:rsidRPr="00EC14DE">
        <w:rPr>
          <w:rFonts w:cs="Times New Roman"/>
        </w:rPr>
        <w:t>2</w:t>
      </w:r>
      <w:r w:rsidRPr="00EC14DE">
        <w:rPr>
          <w:rFonts w:cs="Times New Roman"/>
        </w:rPr>
        <w:t>. Con decreto del Ministro del lavoro e delle politiche sociali, da adottarsi entro tre mesi dalla data di entrata in vigore della presente legge, è disposta, in coerenza con i principi di cui all’articolo 3, comma 4, del decreto legislativo 30 giugno 1994, n. 479, l’integrazione del Consiglio di indirizzo e vigilanza dell’INPS con due membri designati in rappresentanza delle organizzazioni sindacali maggiormente rappresentative della categoria di giornalisti.</w:t>
      </w:r>
    </w:p>
    <w:p w14:paraId="65247AEF" w14:textId="77777777" w:rsidR="0076480C" w:rsidRPr="00EC14DE" w:rsidRDefault="002767E6" w:rsidP="007C594F">
      <w:pPr>
        <w:widowControl w:val="0"/>
        <w:rPr>
          <w:rFonts w:cs="Times New Roman"/>
        </w:rPr>
      </w:pPr>
      <w:bookmarkStart w:id="13" w:name="_Hlk86073295"/>
      <w:r w:rsidRPr="00EC14DE">
        <w:rPr>
          <w:rFonts w:cs="Times New Roman"/>
        </w:rPr>
        <w:t>13</w:t>
      </w:r>
      <w:r w:rsidR="0076480C" w:rsidRPr="00EC14DE">
        <w:rPr>
          <w:rFonts w:cs="Times New Roman"/>
        </w:rPr>
        <w:t xml:space="preserve">. A decorrere dalla data di entrata in vigore della presente legge e fino alla data di cui al comma 1, gli organi dell'INPGI possono compiere atti di amministrazione straordinaria soltanto previa notifica ai Ministeri vigilanti. Gli organi di amministrazione dell'INPGI adottano in via straordinaria, entro il 30 settembre 2022, il rendiconto al 30 giugno 2022 della gestione sostitutiva dell'assicurazione generale obbligatoria, da trasmettere al Ministero del lavoro e delle politiche sociali ed al Ministero dell'economia e delle finanze, per i fini di cui dell’articolo 3, comma 3, del decreto legislativo 30 giugno 1994, n. 509. Entro quindici giorni dalla data di adozione della motivata decisione definitiva sul suddetto rendiconto, ai sensi dell’articolo 3, comma 3, del decreto legislativo 30 giugno 1994, n. 509, e sulla base delle risultanze dello stesso, con delibera del consiglio di amministrazione dell’INPGI da trasmettere per l’approvazione al Ministero del lavoro e delle politiche sociali ed al Ministero dell'economia e delle finanze, sono trasferite all'INPS le risorse strumentali e finanziarie di competenza della medesima gestione. </w:t>
      </w:r>
    </w:p>
    <w:bookmarkEnd w:id="13"/>
    <w:p w14:paraId="438D1EAF" w14:textId="77777777" w:rsidR="0076480C" w:rsidRPr="00EC14DE" w:rsidRDefault="0076480C" w:rsidP="007C594F">
      <w:pPr>
        <w:widowControl w:val="0"/>
        <w:rPr>
          <w:rFonts w:cs="Times New Roman"/>
        </w:rPr>
      </w:pPr>
      <w:r w:rsidRPr="00EC14DE">
        <w:rPr>
          <w:rFonts w:cs="Times New Roman"/>
        </w:rPr>
        <w:t>1</w:t>
      </w:r>
      <w:r w:rsidR="002767E6" w:rsidRPr="00EC14DE">
        <w:rPr>
          <w:rFonts w:cs="Times New Roman"/>
        </w:rPr>
        <w:t>4</w:t>
      </w:r>
      <w:r w:rsidRPr="00EC14DE">
        <w:rPr>
          <w:rFonts w:cs="Times New Roman"/>
        </w:rPr>
        <w:t xml:space="preserve">. Entro il 30 giugno 2022, l’INPGI provvede, con autonome deliberazioni soggette ad approvazione ministeriale ai sensi dell'articolo 3, comma 2, del citato decreto legislativo n. 509 del 1994, alla modifica dello statuto e dei regolamenti interni, secondo i principi e criteri di cui all’articolo 6, commi 1 e 3, del decreto legislativo 10 febbraio 1996, n. 103, ai fini dell’adeguamento alla funzione di ente di previdenza e assistenza dei giornalisti professionisti e pubblicisti che svolgono attività autonoma di libera professione giornalistica, anche sotto forma di collaborazione coordinata e continuativa. Entro quindici giorni dalla data di approvazione dello statuto da parte dei Ministeri vigilanti, sono indette le elezioni per il rinnovo degli organi dell’Istituto. Tali organi entrano in carica </w:t>
      </w:r>
      <w:bookmarkStart w:id="14" w:name="_Hlk86073420"/>
      <w:r w:rsidRPr="00EC14DE">
        <w:rPr>
          <w:rFonts w:cs="Times New Roman"/>
        </w:rPr>
        <w:t>in data successiva a quella di approvazione da parte dei Ministeri vigilanti della delibera di trasferimento delle risorse strumentali e finanziarie,</w:t>
      </w:r>
      <w:bookmarkEnd w:id="14"/>
      <w:r w:rsidR="00145E1F" w:rsidRPr="00EC14DE">
        <w:rPr>
          <w:rFonts w:cs="Times New Roman"/>
        </w:rPr>
        <w:t xml:space="preserve"> di cui al </w:t>
      </w:r>
      <w:r w:rsidR="002767E6" w:rsidRPr="00EC14DE">
        <w:rPr>
          <w:rFonts w:cs="Times New Roman"/>
        </w:rPr>
        <w:t>comma 13</w:t>
      </w:r>
      <w:r w:rsidRPr="00EC14DE">
        <w:rPr>
          <w:rFonts w:cs="Times New Roman"/>
        </w:rPr>
        <w:t>.</w:t>
      </w:r>
    </w:p>
    <w:p w14:paraId="17DEF3B9" w14:textId="77777777" w:rsidR="0076480C" w:rsidRPr="00EC14DE" w:rsidRDefault="0076480C" w:rsidP="007C594F">
      <w:pPr>
        <w:widowControl w:val="0"/>
        <w:rPr>
          <w:rFonts w:cs="Times New Roman"/>
        </w:rPr>
      </w:pPr>
      <w:r w:rsidRPr="00EC14DE">
        <w:rPr>
          <w:rFonts w:cs="Times New Roman"/>
        </w:rPr>
        <w:t>1</w:t>
      </w:r>
      <w:r w:rsidR="002767E6" w:rsidRPr="00EC14DE">
        <w:rPr>
          <w:rFonts w:cs="Times New Roman"/>
        </w:rPr>
        <w:t>5</w:t>
      </w:r>
      <w:r w:rsidRPr="00EC14DE">
        <w:rPr>
          <w:rFonts w:cs="Times New Roman"/>
        </w:rPr>
        <w:t>. Al fine di garantire la continuità delle prestazioni poste a carico dell’INPS, a decorrere dal 1° luglio 2022, lo stesso Istituto è autorizzato a fare ricorso ad anticipazioni della tesoreria statale da estinguersi entro e non oltre il 31 dicembre 2022.</w:t>
      </w:r>
    </w:p>
    <w:p w14:paraId="5F38B302" w14:textId="77777777" w:rsidR="0076480C" w:rsidRPr="00EC14DE" w:rsidRDefault="002767E6" w:rsidP="007C594F">
      <w:pPr>
        <w:widowControl w:val="0"/>
        <w:rPr>
          <w:rFonts w:cs="Times New Roman"/>
        </w:rPr>
      </w:pPr>
      <w:r w:rsidRPr="00EC14DE">
        <w:rPr>
          <w:rFonts w:cs="Times New Roman"/>
        </w:rPr>
        <w:t>16</w:t>
      </w:r>
      <w:r w:rsidR="0076480C" w:rsidRPr="00EC14DE">
        <w:rPr>
          <w:rFonts w:cs="Times New Roman"/>
        </w:rPr>
        <w:t>. L'articolo 16-quinquies, comma 2, del decreto-legge 30 aprile 2019, n. 34, convertito, con modificazioni, dalla legge 28 giugno 2019, n. 58, è abrogato. Fino al 30 giugno 2022 è sospesa, con riferimento alla sola gestione sostitutiva dell'assicurazione generale obbligatoria dell’INPGI, l'efficacia delle disposizioni del comma 4 dell'articolo 2 del decreto legislativo 30 giugno 1994, n. 509.</w:t>
      </w:r>
    </w:p>
    <w:p w14:paraId="1D38336A" w14:textId="77777777" w:rsidR="005D0D4C" w:rsidRPr="00EC14DE" w:rsidRDefault="00730D01" w:rsidP="007C594F">
      <w:pPr>
        <w:pStyle w:val="Titolo1"/>
        <w:keepNext w:val="0"/>
        <w:keepLines w:val="0"/>
        <w:widowControl w:val="0"/>
      </w:pPr>
      <w:r w:rsidRPr="00EC14DE">
        <w:t>Capo III</w:t>
      </w:r>
      <w:r w:rsidR="005D0D4C" w:rsidRPr="00EC14DE">
        <w:br/>
        <w:t xml:space="preserve">Altre misure in materia di </w:t>
      </w:r>
      <w:r w:rsidR="00724C76" w:rsidRPr="00EC14DE">
        <w:t>lavoro</w:t>
      </w:r>
      <w:r w:rsidR="003777A4" w:rsidRPr="00EC14DE">
        <w:t>, famiglia</w:t>
      </w:r>
      <w:r w:rsidR="003F3193" w:rsidRPr="00EC14DE">
        <w:t xml:space="preserve">, </w:t>
      </w:r>
      <w:r w:rsidR="00724C76" w:rsidRPr="00EC14DE">
        <w:t>politiche sociali</w:t>
      </w:r>
      <w:r w:rsidR="00E60393" w:rsidRPr="00EC14DE">
        <w:t xml:space="preserve"> e</w:t>
      </w:r>
      <w:r w:rsidR="003F3193" w:rsidRPr="00EC14DE">
        <w:t xml:space="preserve"> giovanili</w:t>
      </w:r>
      <w:r w:rsidR="00E60393" w:rsidRPr="00EC14DE">
        <w:t xml:space="preserve">, </w:t>
      </w:r>
      <w:r w:rsidR="00216C3A" w:rsidRPr="00EC14DE">
        <w:t>sport</w:t>
      </w:r>
      <w:r w:rsidR="00E60393" w:rsidRPr="00EC14DE">
        <w:t xml:space="preserve"> e coesione territoriale</w:t>
      </w:r>
    </w:p>
    <w:p w14:paraId="10191B43" w14:textId="77777777" w:rsidR="002F0F48" w:rsidRPr="00EC14DE" w:rsidRDefault="005D0D4C"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002F0F48" w:rsidRPr="00EC14DE">
        <w:br/>
        <w:t>(Esoneri contributivi per lavoratori provenienti da imprese in crisi</w:t>
      </w:r>
      <w:r w:rsidR="00266E9E" w:rsidRPr="00EC14DE">
        <w:t xml:space="preserve"> e sostegno al reddito dei lavoratori nel processo di uscita dalla fase emergenziale</w:t>
      </w:r>
      <w:r w:rsidR="002F0F48" w:rsidRPr="00EC14DE">
        <w:t>)</w:t>
      </w:r>
      <w:r w:rsidR="003C76D1" w:rsidRPr="00EC14DE">
        <w:t xml:space="preserve"> </w:t>
      </w:r>
    </w:p>
    <w:p w14:paraId="2E37A432" w14:textId="77777777" w:rsidR="002F0F48" w:rsidRPr="00EC14DE" w:rsidRDefault="00F12E17" w:rsidP="007C594F">
      <w:pPr>
        <w:widowControl w:val="0"/>
      </w:pPr>
      <w:r w:rsidRPr="00EC14DE">
        <w:t xml:space="preserve">1. </w:t>
      </w:r>
      <w:r w:rsidR="002F0F48" w:rsidRPr="00EC14DE">
        <w:t>L’esonero contributivo di cui all’articolo 1, comma 10, della legge 30 dicembre 2020, n. 178</w:t>
      </w:r>
      <w:r w:rsidR="00054A45" w:rsidRPr="00EC14DE">
        <w:t>,</w:t>
      </w:r>
      <w:r w:rsidR="002F0F48" w:rsidRPr="00EC14DE">
        <w:t xml:space="preserve"> è riconosciuto anche ai datori di lavoro privati che assumono, nel periodo ivi considerato, con contratto di lavoro a tempo indeterminato, lavoratori subordinati, indipendentemente dalla loro età anagrafica, da imprese per le quali è attivo un tavolo di confronto per la gestione della crisi aziendale presso la struttura per la crisi d’impresa di cui all'articolo 1, comma 852, della legge 27 dicembre 2006, n. 296. </w:t>
      </w:r>
      <w:r w:rsidR="004B4DA9" w:rsidRPr="00EC14DE">
        <w:t>Il beneficio contributivo di cui al primo comma del presente articolo è riconosciuto nel limite massimo di spesa di 2,5 milioni di euro per l’anno 2022, 5 milioni di euro per l’anno 2023, 5 milioni di euro per l’anno 2024 e 2,5 milioni di euro per l’anno 2025. L’INPS effettua il monitoraggio delle minori entrate contributive derivanti dal primo periodo del presente comma e qualora, nell’ambito della predetta attività di monitoraggio, emerga il raggiungimento, anche in via prospettica, del limite di spesa di cui al secondo periodo del presente comma, l’INPS non prende in considerazioni ulteriori domande per l’accesso al beneficio contributivo di cui al primo periodo del presente comma.</w:t>
      </w:r>
    </w:p>
    <w:p w14:paraId="27A2D740" w14:textId="77777777" w:rsidR="00266E9E" w:rsidRPr="00EC14DE" w:rsidRDefault="00266E9E" w:rsidP="00266E9E">
      <w:r w:rsidRPr="00EC14DE">
        <w:t>2. In relazione ai differenti impatti nei settori produttivi per la tutela delle posizioni lavorative nell’ambito della progressiva uscita dalla fase emergenziale, connessa alla crisi epidemiologia, mediante interventi in materia di integrazione salariale, in deroga alla legislazione vigente, è istituito, nell'ambito dello stato di previsione del Ministero del lavoro e delle politiche sociali, un apposito fondo con una dotazione di 700  milioni di euro per l'anno 2022 il cui utilizzo è disciplinato con successivo provvedimento normativo nel limite del predetto importo che costituisce limite massimo di spesa.</w:t>
      </w:r>
    </w:p>
    <w:p w14:paraId="2D2877DC" w14:textId="77777777" w:rsidR="002B746B" w:rsidRPr="00EC14DE" w:rsidRDefault="00CD266A" w:rsidP="00DF388A">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(Rifinanziamento Fondo sociale per occupazione e formazione)</w:t>
      </w:r>
      <w:r w:rsidR="003C76D1" w:rsidRPr="00EC14DE">
        <w:t xml:space="preserve"> </w:t>
      </w:r>
    </w:p>
    <w:p w14:paraId="048B02F3" w14:textId="77777777" w:rsidR="00FE50BA" w:rsidRPr="00EC14DE" w:rsidRDefault="00FE50BA" w:rsidP="00DF388A">
      <w:pPr>
        <w:widowControl w:val="0"/>
        <w:rPr>
          <w:bCs/>
        </w:rPr>
      </w:pPr>
      <w:r w:rsidRPr="00EC14DE">
        <w:rPr>
          <w:bCs/>
        </w:rPr>
        <w:t xml:space="preserve">1. Il Fondo sociale per occupazione e formazione di cui all'articolo 18, comma 1, lettera a), del decreto-legge 29 novembre 2008, n. 185, convertito, con modificazioni, dalla legge 28 gennaio 2009, n. 2, è incrementato di 350 milioni di euro per l’anno 2022 e di 300 milioni di euro </w:t>
      </w:r>
      <w:r w:rsidR="003C7584" w:rsidRPr="00EC14DE">
        <w:rPr>
          <w:bCs/>
        </w:rPr>
        <w:t xml:space="preserve">annui </w:t>
      </w:r>
      <w:r w:rsidR="006216A6" w:rsidRPr="00EC14DE">
        <w:rPr>
          <w:bCs/>
        </w:rPr>
        <w:t>a decorrere dall’anno</w:t>
      </w:r>
      <w:r w:rsidRPr="00EC14DE">
        <w:rPr>
          <w:bCs/>
        </w:rPr>
        <w:t xml:space="preserve"> 2023.</w:t>
      </w:r>
    </w:p>
    <w:p w14:paraId="63FCD774" w14:textId="77777777" w:rsidR="00FE50BA" w:rsidRPr="00EC14DE" w:rsidRDefault="00FE50BA" w:rsidP="00DF388A">
      <w:pPr>
        <w:widowControl w:val="0"/>
        <w:rPr>
          <w:bCs/>
        </w:rPr>
      </w:pPr>
      <w:r w:rsidRPr="00EC14DE">
        <w:rPr>
          <w:bCs/>
        </w:rPr>
        <w:t>2. A valere sul Fondo sociale per occupazione e formazion</w:t>
      </w:r>
      <w:r w:rsidR="00054A45" w:rsidRPr="00EC14DE">
        <w:rPr>
          <w:bCs/>
        </w:rPr>
        <w:t xml:space="preserve">e di cui al comma 1 si provvede, </w:t>
      </w:r>
      <w:r w:rsidRPr="00EC14DE">
        <w:rPr>
          <w:bCs/>
        </w:rPr>
        <w:t>nella misura di 12 milioni di euro per l’anno 2022</w:t>
      </w:r>
      <w:r w:rsidR="00054A45" w:rsidRPr="00EC14DE">
        <w:rPr>
          <w:bCs/>
        </w:rPr>
        <w:t>,</w:t>
      </w:r>
      <w:r w:rsidRPr="00EC14DE">
        <w:rPr>
          <w:bCs/>
        </w:rPr>
        <w:t xml:space="preserve"> al finanziamento dell’indennità onnicomprensiva, pari a trenta euro per l’anno 2022, per ciascun lavoratore dipendente da impresa adibita alla pesca marittima, compresi i soci lavoratori delle cooperative della piccola pesca di cui alla legge 13 marzo 1958, n. 250, in caso di sospensione dal lavoro derivante da misure di arresto temporaneo obbligatorio.</w:t>
      </w:r>
    </w:p>
    <w:p w14:paraId="75E2594D" w14:textId="77777777" w:rsidR="00FE50BA" w:rsidRPr="00EC14DE" w:rsidRDefault="00FE50BA" w:rsidP="00DF388A">
      <w:pPr>
        <w:widowControl w:val="0"/>
        <w:rPr>
          <w:bCs/>
        </w:rPr>
      </w:pPr>
      <w:r w:rsidRPr="00EC14DE">
        <w:rPr>
          <w:bCs/>
        </w:rPr>
        <w:t>3. A valere sul Fondo sociale per l’occupazione e formazione di cui al comma 1 si provvede, nella misura di 7 milioni di euro per l’anno 2022, al finanziamento dell’indennità onnicomprensiva, pari a trenta euro per l’anno 2022, per ciascun lavoratore dipendente da impresa adibita alla pesca marittima, compresi i soci lavoratori delle cooperative della piccola pesca di cui alla legge 13 marzo 1958, n. 250, in caso di sospensione dal lavoro derivante da misure di arresto temporaneo non obbligatorio.</w:t>
      </w:r>
    </w:p>
    <w:p w14:paraId="0788C8DA" w14:textId="77777777" w:rsidR="00FE50BA" w:rsidRPr="00EC14DE" w:rsidRDefault="00FE50BA" w:rsidP="00DF388A">
      <w:pPr>
        <w:widowControl w:val="0"/>
        <w:rPr>
          <w:bCs/>
        </w:rPr>
      </w:pPr>
      <w:r w:rsidRPr="00EC14DE">
        <w:rPr>
          <w:bCs/>
        </w:rPr>
        <w:t>4. Le misure di sostegno del reddito per i lavoratori dipendenti delle imprese del settore dei call center, di cui all'articolo 44, comma 7, del decreto legislativo 14 settembre 2015, n. 148, sono prorogate per l'anno 2022 nel limite di spesa di 20 milioni di euro. All'onere derivante dal primo periodo del presente comma, pari a 20 milioni di euro per l'anno 2022, si provvede a valere sul Fondo sociale per occupazione e formazione di cui al comma 1</w:t>
      </w:r>
      <w:r w:rsidR="00054A45" w:rsidRPr="00EC14DE">
        <w:rPr>
          <w:bCs/>
        </w:rPr>
        <w:t>.</w:t>
      </w:r>
    </w:p>
    <w:p w14:paraId="258DF9A3" w14:textId="77777777" w:rsidR="00FE50BA" w:rsidRPr="00EC14DE" w:rsidRDefault="00FE50BA" w:rsidP="00DF388A">
      <w:pPr>
        <w:widowControl w:val="0"/>
        <w:rPr>
          <w:bCs/>
        </w:rPr>
      </w:pPr>
      <w:r w:rsidRPr="00EC14DE">
        <w:rPr>
          <w:bCs/>
        </w:rPr>
        <w:t>5. È prorogata per gli anni 2022 e 2023 la disp</w:t>
      </w:r>
      <w:r w:rsidR="00054A45" w:rsidRPr="00EC14DE">
        <w:rPr>
          <w:bCs/>
        </w:rPr>
        <w:t>osizione di cui all’articolo 43-</w:t>
      </w:r>
      <w:r w:rsidRPr="00EC14DE">
        <w:rPr>
          <w:bCs/>
        </w:rPr>
        <w:t>bis del decreto-legge 28 settembre 2018, n. 109, convertito</w:t>
      </w:r>
      <w:r w:rsidR="00054A45" w:rsidRPr="00EC14DE">
        <w:rPr>
          <w:bCs/>
        </w:rPr>
        <w:t>,</w:t>
      </w:r>
      <w:r w:rsidRPr="00EC14DE">
        <w:rPr>
          <w:bCs/>
        </w:rPr>
        <w:t xml:space="preserve"> con modificazioni, nella legge 16 novembre 2018, n. 130. All’onere derivante dal primo periodo del presente comma, pari a 21 milioni di euro per ciascuno degli anni 2023 e 2024, si provvede a carico del Fondo sociale per occupazione e formazione di cui al comma 1.</w:t>
      </w:r>
    </w:p>
    <w:p w14:paraId="52AE9CA8" w14:textId="77777777" w:rsidR="00FE50BA" w:rsidRPr="00EC14DE" w:rsidRDefault="00FE50BA" w:rsidP="00DF388A">
      <w:pPr>
        <w:widowControl w:val="0"/>
        <w:rPr>
          <w:bCs/>
        </w:rPr>
      </w:pPr>
      <w:r w:rsidRPr="00EC14DE">
        <w:rPr>
          <w:bCs/>
        </w:rPr>
        <w:t>6. Al fine del completamento dei piani di recupero occupazionale di cui all'articolo 44, comma 11-bis, del decreto legislativo 14 settembre 2015, n. 148, sono stanziate ulteriori risorse per un importo pari a 60 milioni di euro, a valere sul Fondo sociale per occupazione e formazione di cui al comma 1, da ripartire tra le regioni con decreto del Ministro del lavoro e delle politiche sociali, di concerto con il Ministro dell'economia e delle finanze. Le predette regioni possono destinare, nell'anno 2022, le risorse stanziate ai sensi del primo periodo alle medesime finalità dell’articolo 44, comma 11-bis, del decreto legislativo n. 148 del 2015, nonché a quelle dell'articolo 53-ter del decreto-legge 24 aprile 2017, n. 50, convertito, con modificazioni, dalla legge 21 giugno 2017, n. 96.</w:t>
      </w:r>
    </w:p>
    <w:p w14:paraId="0FBCCCF3" w14:textId="77777777" w:rsidR="00FE50BA" w:rsidRPr="00EC14DE" w:rsidRDefault="00FE50BA" w:rsidP="00DF388A">
      <w:pPr>
        <w:widowControl w:val="0"/>
        <w:rPr>
          <w:bCs/>
        </w:rPr>
      </w:pPr>
      <w:r w:rsidRPr="00EC14DE">
        <w:rPr>
          <w:bCs/>
        </w:rPr>
        <w:t>7. L'integrazione salariale, prevista anche ai fini della formazione professionale per la gestione delle bonifiche, di cui all'articolo 1-bis del decreto-legge 29 dicembre 2016, n. 243, convertito, con modificazioni, dalla legge 27 febbraio 2017, n. 18, è prorogata per l'anno 2022 nel limite di spesa di 19 milioni di euro. All'onere derivante dal primo periodo del presente comma, pari a 19 milioni di euro per l'anno 2022, si provvede a valere sul Fondo sociale per occupazione e formazione di cui al comma 1.</w:t>
      </w:r>
    </w:p>
    <w:p w14:paraId="590F39AD" w14:textId="77777777" w:rsidR="00FE50BA" w:rsidRPr="00EC14DE" w:rsidRDefault="00FE50BA" w:rsidP="00DF388A">
      <w:pPr>
        <w:widowControl w:val="0"/>
        <w:rPr>
          <w:bCs/>
        </w:rPr>
      </w:pPr>
      <w:r w:rsidRPr="00EC14DE">
        <w:rPr>
          <w:bCs/>
        </w:rPr>
        <w:t>8. La disposizione di cui all’articolo 22-bis del decreto legislativo 14 settembre 2015, n. 148, è ulteriormente prorogata per gli anni 2022, 2023 e 2024 nel limite di spesa rispettivamente di 130 milioni di euro per l’anno 2022, 100 milioni di euro per l’anno 2023 e 50 milioni di euro per l’anno 2024. Gli oneri derivanti dal primo periodo del presente comma, pari a 130 milioni di euro per l’anno 2022, 100 milioni di euro per l’anno 2023 e 50 milioni di euro per l’anno 2024, sono posti a carico del Fondo sociale per occupazione e formazione di cui al comma 1.</w:t>
      </w:r>
    </w:p>
    <w:p w14:paraId="382492EA" w14:textId="77777777" w:rsidR="00FE50BA" w:rsidRPr="00EC14DE" w:rsidRDefault="00FE50BA" w:rsidP="00DF388A">
      <w:pPr>
        <w:widowControl w:val="0"/>
        <w:rPr>
          <w:bCs/>
        </w:rPr>
      </w:pPr>
      <w:r w:rsidRPr="00EC14DE">
        <w:rPr>
          <w:bCs/>
        </w:rPr>
        <w:t>9. Per gli esercizi finanziari 2022, 2023 e 2024, in relaz</w:t>
      </w:r>
      <w:r w:rsidR="009839F6" w:rsidRPr="00EC14DE">
        <w:rPr>
          <w:bCs/>
        </w:rPr>
        <w:t xml:space="preserve">ione alle risorse già stanziate, </w:t>
      </w:r>
      <w:r w:rsidRPr="00EC14DE">
        <w:rPr>
          <w:bCs/>
        </w:rPr>
        <w:t>le risorse di cui al comma 110, lettera b), della legge 27 dicembre 2017 n. 205, sono incrementate di euro 50 milioni di euro a valere sul Fondo sociale per occupazione e formazione di cui al comma 1.</w:t>
      </w:r>
    </w:p>
    <w:p w14:paraId="6E24F884" w14:textId="77777777" w:rsidR="007C5491" w:rsidRPr="00EC14DE" w:rsidRDefault="004D3CD8" w:rsidP="007C594F">
      <w:pPr>
        <w:pStyle w:val="Titolo3"/>
        <w:keepNext w:val="0"/>
        <w:keepLines w:val="0"/>
        <w:widowControl w:val="0"/>
        <w:rPr>
          <w:rFonts w:eastAsia="Times New Roman"/>
          <w:lang w:eastAsia="it-IT"/>
        </w:rPr>
      </w:pPr>
      <w:r w:rsidRPr="00EC14DE">
        <w:t xml:space="preserve">ART. </w:t>
      </w:r>
      <w:r w:rsidRPr="00EC14DE">
        <w:fldChar w:fldCharType="begin"/>
      </w:r>
      <w:r w:rsidRPr="00EC14DE">
        <w:instrText xml:space="preserve"> AUTONUM  \* Arabic </w:instrText>
      </w:r>
      <w:r w:rsidRPr="00EC14DE">
        <w:fldChar w:fldCharType="end"/>
      </w:r>
      <w:r w:rsidRPr="00EC14DE">
        <w:br/>
        <w:t>(</w:t>
      </w:r>
      <w:r w:rsidRPr="00EC14DE">
        <w:rPr>
          <w:rFonts w:eastAsia="Times New Roman"/>
          <w:lang w:eastAsia="it-IT"/>
        </w:rPr>
        <w:t>Integrazione salariale per i lavoratori di Alitalia in amministrazione straordinaria</w:t>
      </w:r>
      <w:r w:rsidRPr="00EC14DE">
        <w:t>)</w:t>
      </w:r>
    </w:p>
    <w:p w14:paraId="1B5ED42B" w14:textId="77777777" w:rsidR="007C5491" w:rsidRPr="00EC14DE" w:rsidRDefault="007C5491" w:rsidP="007C594F">
      <w:pPr>
        <w:widowControl w:val="0"/>
        <w:rPr>
          <w:rFonts w:cs="Times New Roman"/>
        </w:rPr>
      </w:pPr>
      <w:r w:rsidRPr="00EC14DE">
        <w:rPr>
          <w:rFonts w:cs="Times New Roman"/>
        </w:rPr>
        <w:t>1. Al fine di garantire la continuità del sostegno al reddito dei lavoratori dipendenti di Alitalia Sai e Alitalia Cityliner coinvolti dall’attuazione del programma della procedura di amministrazione straordinaria di cui all’articolo 79, comma 4-</w:t>
      </w:r>
      <w:r w:rsidRPr="00EC14DE">
        <w:rPr>
          <w:rFonts w:cs="Times New Roman"/>
          <w:i/>
          <w:iCs/>
        </w:rPr>
        <w:t>bis</w:t>
      </w:r>
      <w:r w:rsidRPr="00EC14DE">
        <w:rPr>
          <w:rFonts w:cs="Times New Roman"/>
        </w:rPr>
        <w:t xml:space="preserve">, del decreto-legge 17 marzo 2020, n. 18, convertito, con modificazioni, dalla legge 24 aprile 2020, n. 27, il trattamento di integrazione salariale di cui all'articolo 10, comma 1, del decreto-legge 21 ottobre 2021, n. 146 può essere prorogato di ulteriori 12 mesi. Il predetto trattamento può proseguire anche successivamente alla conclusione dell'attività del commissario e in ogni caso non oltre il 31 dicembre 2023. </w:t>
      </w:r>
      <w:r w:rsidR="000D1218" w:rsidRPr="00EC14DE">
        <w:rPr>
          <w:rFonts w:cs="Times New Roman"/>
        </w:rPr>
        <w:t>La proroga dei trattamenti di cui al presente comma è riconosciuta nel limite di 63,5 milioni di euro per l’anno 2022 e di 193,6 milioni di euro per l’anno 2023.</w:t>
      </w:r>
    </w:p>
    <w:p w14:paraId="1FFE44F9" w14:textId="77777777" w:rsidR="000D1218" w:rsidRPr="00EC14DE" w:rsidRDefault="000D1218" w:rsidP="007C594F">
      <w:pPr>
        <w:pStyle w:val="Paragrafoelenco"/>
        <w:widowControl w:val="0"/>
        <w:spacing w:line="240" w:lineRule="auto"/>
        <w:ind w:left="0"/>
        <w:jc w:val="both"/>
        <w:rPr>
          <w:rFonts w:ascii="Times New Roman" w:hAnsi="Times New Roman" w:cs="Times New Roman"/>
        </w:rPr>
      </w:pPr>
      <w:r w:rsidRPr="00EC14DE">
        <w:rPr>
          <w:rFonts w:ascii="Times New Roman" w:hAnsi="Times New Roman" w:cs="Times New Roman"/>
        </w:rPr>
        <w:t xml:space="preserve">2. In deroga all’articolo 5, comma 2, del decreto del Ministro del lavoro e delle politiche sociali del 7 aprile 2016, n. 95269, il Fondo di solidarietà per il settore del trasporto aereo e del sistema aeroportuale eroga una prestazione integrativa del trattamento di cui al comma 1, tale da garantire che il trattamento complessivo sia pari al </w:t>
      </w:r>
      <w:r w:rsidR="005612F7" w:rsidRPr="00EC14DE">
        <w:rPr>
          <w:rFonts w:ascii="Times New Roman" w:hAnsi="Times New Roman" w:cs="Times New Roman"/>
        </w:rPr>
        <w:t xml:space="preserve">60 </w:t>
      </w:r>
      <w:r w:rsidRPr="00EC14DE">
        <w:rPr>
          <w:rFonts w:ascii="Times New Roman" w:hAnsi="Times New Roman" w:cs="Times New Roman"/>
        </w:rPr>
        <w:t>per cento della retribuzione lorda di riferimento, risultante dalla media delle voci retributive lorde fisse, delle mensilità lorde aggiuntive e delle voci retributive lorde contrattuali aventi carattere di continuità, percepite dai lavoratori interessati dall’integrazio</w:t>
      </w:r>
      <w:r w:rsidR="00FA1037" w:rsidRPr="00EC14DE">
        <w:rPr>
          <w:rFonts w:ascii="Times New Roman" w:hAnsi="Times New Roman" w:cs="Times New Roman"/>
        </w:rPr>
        <w:t>ne salariale di cui al comma 1,</w:t>
      </w:r>
      <w:r w:rsidRPr="00EC14DE">
        <w:rPr>
          <w:rFonts w:ascii="Times New Roman" w:hAnsi="Times New Roman" w:cs="Times New Roman"/>
        </w:rPr>
        <w:t xml:space="preserve"> nell’anno 2019, con esclusione dei compensi per lavoro straordinario. La prestazione integrativa di cui al primo periodo del presente comma è concessa nei limiti di spesa di 32,7 milioni di euro per l’anno 2022 e 99,9 milioni di euro per l'anno 2023. L’INPS provvede al monitoraggio del limite di spesa di cui al secondo periodo del presente comma sulla base dei provvedimenti di autorizzazione. A tal fine, il Fondo di solidarietà per il settore del trasporto aereo e del sistema aeroportuale è incrementato di 32,7 milioni di euro per l’anno 2022 e 99,9 milioni di euro per l'anno 2023. Sono altresì a carico del fondo i programmi formativi per il mantenimento e l’aggiornamento delle qualifiche professionali e delle licenze necessarie per lo svolgimento della prestazione lavorativa; i programmi formativi possono essere cofinanziati dalle regioni nell’ambito delle rispettive misure di politica attiva del lavoro. Qualora dal predetto monitoraggio emergano risparmi di spesa, con decreto del Ministero del Lavoro e delle Politiche sociali e del Ministero dell’Economia e Finanze può essere disposto, fermo restando il limite di spesa di cui al secondo periodo del presente comma, l’incremento della percentuale di cui al primo periodo del presente comma fino al valore massimo dell’ottanta per cento.</w:t>
      </w:r>
    </w:p>
    <w:p w14:paraId="78A8C5A4" w14:textId="77777777" w:rsidR="00D43BC0" w:rsidRPr="00EC14DE" w:rsidRDefault="00D43BC0" w:rsidP="00D43BC0">
      <w:pPr>
        <w:pStyle w:val="Paragrafoelenco"/>
        <w:widowControl w:val="0"/>
        <w:spacing w:line="240" w:lineRule="auto"/>
        <w:ind w:left="0"/>
        <w:jc w:val="both"/>
        <w:rPr>
          <w:rFonts w:ascii="Times New Roman" w:hAnsi="Times New Roman" w:cs="Times New Roman"/>
        </w:rPr>
      </w:pPr>
      <w:r w:rsidRPr="00EC14DE">
        <w:rPr>
          <w:rFonts w:ascii="Times New Roman" w:hAnsi="Times New Roman" w:cs="Times New Roman"/>
        </w:rPr>
        <w:t xml:space="preserve">3. Le società Alitalia Sai e Alitalia Cityliner che abbiano usufruito  del   trattamento   di   integrazione   salariale di cui al comma 1,  previa  autorizzazione  dell'INPS a  seguito  di apposita richiesta, sono  esonerate dal  pagamento  delle  quote  di accantonamento  del  trattamento  di  fine  rapporto   relative  alla retribuzione persa a seguito della riduzione oraria o sospensione dal lavoro e dal pagamento  del  contributo  previsto  dall'articolo  2, comma 31, della legge 28 giugno  2012,  n.  92.  </w:t>
      </w:r>
    </w:p>
    <w:p w14:paraId="7DB325D3" w14:textId="77777777" w:rsidR="00177589" w:rsidRPr="00EC14DE" w:rsidRDefault="00177589"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(Congedo di paternità)</w:t>
      </w:r>
      <w:r w:rsidR="00853E81" w:rsidRPr="00EC14DE">
        <w:t xml:space="preserve"> </w:t>
      </w:r>
    </w:p>
    <w:p w14:paraId="5CBF1C97" w14:textId="77777777" w:rsidR="000160C7" w:rsidRPr="00EC14DE" w:rsidRDefault="00347448" w:rsidP="007C5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t-IT"/>
        </w:rPr>
      </w:pPr>
      <w:r w:rsidRPr="00EC14DE">
        <w:rPr>
          <w:rFonts w:cs="Times New Roman"/>
        </w:rPr>
        <w:t xml:space="preserve">1. </w:t>
      </w:r>
      <w:r w:rsidR="000160C7" w:rsidRPr="00EC14DE">
        <w:rPr>
          <w:rFonts w:eastAsia="Times New Roman" w:cs="Times New Roman"/>
          <w:lang w:eastAsia="it-IT"/>
        </w:rPr>
        <w:t>A</w:t>
      </w:r>
      <w:r w:rsidR="007263BA" w:rsidRPr="00EC14DE">
        <w:rPr>
          <w:rFonts w:eastAsia="Times New Roman" w:cs="Times New Roman"/>
          <w:lang w:eastAsia="it-IT"/>
        </w:rPr>
        <w:t>l</w:t>
      </w:r>
      <w:r w:rsidR="000160C7" w:rsidRPr="00EC14DE">
        <w:rPr>
          <w:rFonts w:eastAsia="Times New Roman" w:cs="Times New Roman"/>
          <w:lang w:eastAsia="it-IT"/>
        </w:rPr>
        <w:t>l</w:t>
      </w:r>
      <w:r w:rsidR="007263BA" w:rsidRPr="00EC14DE">
        <w:rPr>
          <w:rFonts w:eastAsia="Times New Roman" w:cs="Times New Roman"/>
          <w:lang w:eastAsia="it-IT"/>
        </w:rPr>
        <w:t xml:space="preserve">’articolo 1, </w:t>
      </w:r>
      <w:r w:rsidR="000160C7" w:rsidRPr="00EC14DE">
        <w:rPr>
          <w:rFonts w:eastAsia="Times New Roman" w:cs="Times New Roman"/>
          <w:lang w:eastAsia="it-IT"/>
        </w:rPr>
        <w:t>comma 354</w:t>
      </w:r>
      <w:r w:rsidR="007263BA" w:rsidRPr="00EC14DE">
        <w:rPr>
          <w:rFonts w:eastAsia="Times New Roman" w:cs="Times New Roman"/>
          <w:lang w:eastAsia="it-IT"/>
        </w:rPr>
        <w:t>,</w:t>
      </w:r>
      <w:r w:rsidR="000160C7" w:rsidRPr="00EC14DE">
        <w:rPr>
          <w:rFonts w:eastAsia="Times New Roman" w:cs="Times New Roman"/>
          <w:lang w:eastAsia="it-IT"/>
        </w:rPr>
        <w:t xml:space="preserve"> della legge 11 dicembre 2016, n. 232, sono apportate le seguenti modificazioni: </w:t>
      </w:r>
    </w:p>
    <w:p w14:paraId="2AB8C052" w14:textId="77777777" w:rsidR="000160C7" w:rsidRPr="00EC14DE" w:rsidRDefault="000160C7" w:rsidP="007C5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t-IT"/>
        </w:rPr>
      </w:pPr>
      <w:r w:rsidRPr="00EC14DE">
        <w:rPr>
          <w:rFonts w:eastAsia="Times New Roman" w:cs="Times New Roman"/>
          <w:lang w:eastAsia="it-IT"/>
        </w:rPr>
        <w:t xml:space="preserve"> a)</w:t>
      </w:r>
      <w:r w:rsidR="000C423C" w:rsidRPr="00EC14DE">
        <w:rPr>
          <w:rFonts w:eastAsia="Times New Roman" w:cs="Times New Roman"/>
          <w:lang w:eastAsia="it-IT"/>
        </w:rPr>
        <w:t xml:space="preserve"> al primo periodo, le parole «</w:t>
      </w:r>
      <w:r w:rsidRPr="00EC14DE">
        <w:rPr>
          <w:rFonts w:eastAsia="Times New Roman" w:cs="Times New Roman"/>
          <w:lang w:eastAsia="it-IT"/>
        </w:rPr>
        <w:t>e 2021»</w:t>
      </w:r>
      <w:r w:rsidR="007263BA" w:rsidRPr="00EC14DE">
        <w:rPr>
          <w:rFonts w:eastAsia="Times New Roman" w:cs="Times New Roman"/>
          <w:lang w:eastAsia="it-IT"/>
        </w:rPr>
        <w:t xml:space="preserve"> sono sostituite dalle seguenti</w:t>
      </w:r>
      <w:r w:rsidRPr="00EC14DE">
        <w:rPr>
          <w:rFonts w:eastAsia="Times New Roman" w:cs="Times New Roman"/>
          <w:lang w:eastAsia="it-IT"/>
        </w:rPr>
        <w:t xml:space="preserve"> «e dall’anno 2021»; </w:t>
      </w:r>
    </w:p>
    <w:p w14:paraId="0CB6E01C" w14:textId="77777777" w:rsidR="000160C7" w:rsidRPr="00EC14DE" w:rsidRDefault="000160C7" w:rsidP="007C5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t-IT"/>
        </w:rPr>
      </w:pPr>
      <w:r w:rsidRPr="00EC14DE">
        <w:rPr>
          <w:rFonts w:eastAsia="Times New Roman" w:cs="Times New Roman"/>
          <w:lang w:eastAsia="it-IT"/>
        </w:rPr>
        <w:t xml:space="preserve"> b</w:t>
      </w:r>
      <w:r w:rsidR="007263BA" w:rsidRPr="00EC14DE">
        <w:rPr>
          <w:rFonts w:eastAsia="Times New Roman" w:cs="Times New Roman"/>
          <w:lang w:eastAsia="it-IT"/>
        </w:rPr>
        <w:t xml:space="preserve">) al secondo periodo, le parole </w:t>
      </w:r>
      <w:r w:rsidRPr="00EC14DE">
        <w:rPr>
          <w:rFonts w:eastAsia="Times New Roman" w:cs="Times New Roman"/>
          <w:lang w:eastAsia="it-IT"/>
        </w:rPr>
        <w:t>«, a sette giorni per l'anno 2020 e a dieci giorni per l'anno 2021» sono sostitui</w:t>
      </w:r>
      <w:r w:rsidR="000C423C" w:rsidRPr="00EC14DE">
        <w:rPr>
          <w:rFonts w:eastAsia="Times New Roman" w:cs="Times New Roman"/>
          <w:lang w:eastAsia="it-IT"/>
        </w:rPr>
        <w:t xml:space="preserve">te dalle seguenti «, a sette </w:t>
      </w:r>
      <w:r w:rsidRPr="00EC14DE">
        <w:rPr>
          <w:rFonts w:eastAsia="Times New Roman" w:cs="Times New Roman"/>
          <w:lang w:eastAsia="it-IT"/>
        </w:rPr>
        <w:t xml:space="preserve">giorni per l'anno 2020 e a dieci giorni dall’anno 2021»; </w:t>
      </w:r>
    </w:p>
    <w:p w14:paraId="5EC04F3D" w14:textId="77777777" w:rsidR="000160C7" w:rsidRPr="00EC14DE" w:rsidRDefault="000160C7" w:rsidP="007C5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lang w:eastAsia="it-IT"/>
        </w:rPr>
      </w:pPr>
      <w:r w:rsidRPr="00EC14DE">
        <w:rPr>
          <w:rFonts w:eastAsia="Times New Roman" w:cs="Times New Roman"/>
          <w:lang w:eastAsia="it-IT"/>
        </w:rPr>
        <w:t xml:space="preserve"> c)</w:t>
      </w:r>
      <w:r w:rsidR="007263BA" w:rsidRPr="00EC14DE">
        <w:rPr>
          <w:rFonts w:eastAsia="Times New Roman" w:cs="Times New Roman"/>
          <w:lang w:eastAsia="it-IT"/>
        </w:rPr>
        <w:t xml:space="preserve"> al terzo periodo, le parole </w:t>
      </w:r>
      <w:r w:rsidR="000C423C" w:rsidRPr="00EC14DE">
        <w:rPr>
          <w:rFonts w:eastAsia="Times New Roman" w:cs="Times New Roman"/>
          <w:lang w:eastAsia="it-IT"/>
        </w:rPr>
        <w:t>«</w:t>
      </w:r>
      <w:r w:rsidRPr="00EC14DE">
        <w:rPr>
          <w:rFonts w:eastAsia="Times New Roman" w:cs="Times New Roman"/>
          <w:lang w:eastAsia="it-IT"/>
        </w:rPr>
        <w:t>e 2021»</w:t>
      </w:r>
      <w:r w:rsidR="007263BA" w:rsidRPr="00EC14DE">
        <w:rPr>
          <w:rFonts w:eastAsia="Times New Roman" w:cs="Times New Roman"/>
          <w:lang w:eastAsia="it-IT"/>
        </w:rPr>
        <w:t xml:space="preserve"> sono sostituite dalle seguenti</w:t>
      </w:r>
      <w:r w:rsidRPr="00EC14DE">
        <w:rPr>
          <w:rFonts w:eastAsia="Times New Roman" w:cs="Times New Roman"/>
          <w:lang w:eastAsia="it-IT"/>
        </w:rPr>
        <w:t xml:space="preserve"> «e dall’anno 2021». </w:t>
      </w:r>
    </w:p>
    <w:p w14:paraId="12ACB26D" w14:textId="77777777" w:rsidR="00A32CFC" w:rsidRPr="00EC14DE" w:rsidRDefault="00E66BE8"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(Fondo povertà educativa)</w:t>
      </w:r>
      <w:r w:rsidR="00724C76" w:rsidRPr="00EC14DE">
        <w:t xml:space="preserve"> </w:t>
      </w:r>
    </w:p>
    <w:p w14:paraId="0645BC38" w14:textId="77777777" w:rsidR="001210B9" w:rsidRPr="00EC14DE" w:rsidRDefault="001210B9" w:rsidP="007C594F">
      <w:pPr>
        <w:widowControl w:val="0"/>
      </w:pPr>
      <w:r w:rsidRPr="00EC14DE">
        <w:t>1. All’articolo 1, comma 394, della legge 28 dicembre 2015, n. 208, sono apportate le seguenti modificazioni:</w:t>
      </w:r>
    </w:p>
    <w:p w14:paraId="3C5261CC" w14:textId="77777777" w:rsidR="001210B9" w:rsidRPr="00EC14DE" w:rsidRDefault="0072207D" w:rsidP="007C594F">
      <w:pPr>
        <w:widowControl w:val="0"/>
      </w:pPr>
      <w:r w:rsidRPr="00EC14DE">
        <w:t>a) a</w:t>
      </w:r>
      <w:r w:rsidR="001210B9" w:rsidRPr="00EC14DE">
        <w:t xml:space="preserve">l primo periodo, le parole: </w:t>
      </w:r>
      <w:r w:rsidR="001210B9" w:rsidRPr="00EC14DE">
        <w:rPr>
          <w:rFonts w:cstheme="minorHAnsi"/>
        </w:rPr>
        <w:t>«</w:t>
      </w:r>
      <w:r w:rsidR="001210B9" w:rsidRPr="00EC14DE">
        <w:t>e 2018</w:t>
      </w:r>
      <w:r w:rsidR="001210B9" w:rsidRPr="00EC14DE">
        <w:rPr>
          <w:rFonts w:cstheme="minorHAnsi"/>
        </w:rPr>
        <w:t>»</w:t>
      </w:r>
      <w:r w:rsidR="001210B9" w:rsidRPr="00EC14DE">
        <w:t xml:space="preserve"> sono sostituite dalle seguenti: </w:t>
      </w:r>
      <w:r w:rsidR="001210B9" w:rsidRPr="00EC14DE">
        <w:rPr>
          <w:rFonts w:cstheme="minorHAnsi"/>
        </w:rPr>
        <w:t>«</w:t>
      </w:r>
      <w:r w:rsidR="001210B9" w:rsidRPr="00EC14DE">
        <w:t>,2018 e 2024</w:t>
      </w:r>
      <w:r w:rsidR="001210B9" w:rsidRPr="00EC14DE">
        <w:rPr>
          <w:rFonts w:cstheme="minorHAnsi"/>
        </w:rPr>
        <w:t>»;</w:t>
      </w:r>
    </w:p>
    <w:p w14:paraId="3F7EA474" w14:textId="77777777" w:rsidR="001210B9" w:rsidRPr="00EC14DE" w:rsidRDefault="0072207D" w:rsidP="007C594F">
      <w:pPr>
        <w:widowControl w:val="0"/>
      </w:pPr>
      <w:r w:rsidRPr="00EC14DE">
        <w:t>b) a</w:t>
      </w:r>
      <w:r w:rsidR="001210B9" w:rsidRPr="00EC14DE">
        <w:t xml:space="preserve">l secondo periodo, le parole: </w:t>
      </w:r>
      <w:r w:rsidR="001210B9" w:rsidRPr="00EC14DE">
        <w:rPr>
          <w:rFonts w:cstheme="minorHAnsi"/>
        </w:rPr>
        <w:t>«</w:t>
      </w:r>
      <w:r w:rsidR="001210B9" w:rsidRPr="00EC14DE">
        <w:t>e a 45 milioni di euro per l'anno 2023</w:t>
      </w:r>
      <w:r w:rsidR="001210B9" w:rsidRPr="00EC14DE">
        <w:rPr>
          <w:rFonts w:cstheme="minorHAnsi"/>
        </w:rPr>
        <w:t>»</w:t>
      </w:r>
      <w:r w:rsidR="001210B9" w:rsidRPr="00EC14DE">
        <w:t xml:space="preserve"> sono sostituite dalle seguenti: </w:t>
      </w:r>
      <w:r w:rsidR="001210B9" w:rsidRPr="00EC14DE">
        <w:rPr>
          <w:rFonts w:cstheme="minorHAnsi"/>
        </w:rPr>
        <w:t>«</w:t>
      </w:r>
      <w:r w:rsidR="001210B9" w:rsidRPr="00EC14DE">
        <w:t>, a 45 milioni di euro per l'anno 2023 e a 25 milioni di euro per l’anno 2024</w:t>
      </w:r>
      <w:r w:rsidR="001210B9" w:rsidRPr="00EC14DE">
        <w:rPr>
          <w:rFonts w:cstheme="minorHAnsi"/>
        </w:rPr>
        <w:t>»</w:t>
      </w:r>
      <w:r w:rsidR="00920402" w:rsidRPr="00EC14DE">
        <w:rPr>
          <w:rFonts w:cstheme="minorHAnsi"/>
        </w:rPr>
        <w:t>.</w:t>
      </w:r>
    </w:p>
    <w:p w14:paraId="7877CBB5" w14:textId="77777777" w:rsidR="001210B9" w:rsidRPr="00EC14DE" w:rsidRDefault="001210B9" w:rsidP="007C594F">
      <w:pPr>
        <w:widowControl w:val="0"/>
      </w:pPr>
      <w:r w:rsidRPr="00EC14DE">
        <w:t>2. Il Fondo per il contrasto della povertà educativa minorile di cui all'articolo 1, comma 392, della legge 28 dicembre 2015, n. 208, è prorogato per gli anni 2023 e 2024.</w:t>
      </w:r>
    </w:p>
    <w:p w14:paraId="26CEC93B" w14:textId="77777777" w:rsidR="00480194" w:rsidRPr="00EC14DE" w:rsidRDefault="00724C76"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06574D" w:rsidRPr="00EC14DE">
        <w:rPr>
          <w:szCs w:val="22"/>
        </w:rPr>
        <w:t>Decontribuzione lavoratrici madri</w:t>
      </w:r>
      <w:r w:rsidRPr="00EC14DE">
        <w:t>)</w:t>
      </w:r>
      <w:r w:rsidR="003C76D1" w:rsidRPr="00EC14DE">
        <w:t xml:space="preserve"> </w:t>
      </w:r>
    </w:p>
    <w:p w14:paraId="660A9441" w14:textId="77777777" w:rsidR="00480194" w:rsidRPr="00EC14DE" w:rsidRDefault="00480194" w:rsidP="00C83229">
      <w:pPr>
        <w:widowControl w:val="0"/>
        <w:rPr>
          <w:rFonts w:cs="Times New Roman"/>
          <w:bCs/>
          <w:bdr w:val="none" w:sz="0" w:space="0" w:color="auto" w:frame="1"/>
        </w:rPr>
      </w:pPr>
      <w:r w:rsidRPr="00EC14DE">
        <w:rPr>
          <w:rFonts w:cs="Times New Roman"/>
          <w:bCs/>
          <w:bdr w:val="none" w:sz="0" w:space="0" w:color="auto" w:frame="1"/>
        </w:rPr>
        <w:t>1. In via sperimentale</w:t>
      </w:r>
      <w:r w:rsidR="005747CB" w:rsidRPr="00EC14DE">
        <w:rPr>
          <w:rFonts w:cs="Times New Roman"/>
          <w:bCs/>
          <w:bdr w:val="none" w:sz="0" w:space="0" w:color="auto" w:frame="1"/>
        </w:rPr>
        <w:t>,</w:t>
      </w:r>
      <w:r w:rsidRPr="00EC14DE">
        <w:rPr>
          <w:rFonts w:cs="Times New Roman"/>
          <w:bCs/>
          <w:bdr w:val="none" w:sz="0" w:space="0" w:color="auto" w:frame="1"/>
        </w:rPr>
        <w:t xml:space="preserve"> per l’anno 2022</w:t>
      </w:r>
      <w:r w:rsidR="005747CB" w:rsidRPr="00EC14DE">
        <w:rPr>
          <w:rFonts w:cs="Times New Roman"/>
          <w:bCs/>
          <w:bdr w:val="none" w:sz="0" w:space="0" w:color="auto" w:frame="1"/>
        </w:rPr>
        <w:t>,</w:t>
      </w:r>
      <w:r w:rsidRPr="00EC14DE">
        <w:rPr>
          <w:rFonts w:cs="Times New Roman"/>
          <w:bCs/>
          <w:bdr w:val="none" w:sz="0" w:space="0" w:color="auto" w:frame="1"/>
        </w:rPr>
        <w:t xml:space="preserve"> è riconosciuto nella misura del cinquanta per cento l’esonero per un anno del versamento dei contributi previdenziali a carico delle lavoratrici madri </w:t>
      </w:r>
      <w:r w:rsidR="00002977" w:rsidRPr="00EC14DE">
        <w:rPr>
          <w:rFonts w:cs="Times New Roman"/>
          <w:bCs/>
          <w:bdr w:val="none" w:sz="0" w:space="0" w:color="auto" w:frame="1"/>
        </w:rPr>
        <w:t>dipendenti del settore privato a decorrere dal rientro nel posto di lavoro dopo la fruizione del congedo obbligatorio di maternità e per un periodo massimo di un anno a decorrere dalla data del predetto rientro. Resta ferma l'aliquota di computo delle prestazioni pensionistiche.</w:t>
      </w:r>
    </w:p>
    <w:p w14:paraId="3EE667D1" w14:textId="77777777" w:rsidR="0025033C" w:rsidRPr="00EC14DE" w:rsidRDefault="0025033C" w:rsidP="0025033C">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(Finanziamento del Fondo per il sostegno alla parità salariale di genere) </w:t>
      </w:r>
    </w:p>
    <w:p w14:paraId="28298D7A" w14:textId="77777777" w:rsidR="0025033C" w:rsidRPr="00EC14DE" w:rsidRDefault="0025033C" w:rsidP="0025033C">
      <w:pPr>
        <w:widowControl w:val="0"/>
        <w:autoSpaceDE w:val="0"/>
        <w:autoSpaceDN w:val="0"/>
        <w:adjustRightInd w:val="0"/>
        <w:rPr>
          <w:rFonts w:cs="Times New Roman"/>
        </w:rPr>
      </w:pPr>
      <w:r w:rsidRPr="00EC14DE">
        <w:rPr>
          <w:rFonts w:cs="Times New Roman"/>
        </w:rPr>
        <w:t xml:space="preserve">1. All’articolo 1, comma 276, della legge 30 dicembre 2020, n. 178, le parole: «2 milioni di euro annui a decorrere dall’anno 2022» sono sostituite </w:t>
      </w:r>
      <w:r w:rsidR="00E75DA9" w:rsidRPr="00EC14DE">
        <w:rPr>
          <w:rFonts w:cs="Times New Roman"/>
        </w:rPr>
        <w:t>dalle seguenti</w:t>
      </w:r>
      <w:r w:rsidRPr="00EC14DE">
        <w:rPr>
          <w:rFonts w:cs="Times New Roman"/>
        </w:rPr>
        <w:t xml:space="preserve">: « </w:t>
      </w:r>
      <w:r w:rsidR="00857423" w:rsidRPr="00EC14DE">
        <w:rPr>
          <w:rFonts w:cs="Times New Roman"/>
        </w:rPr>
        <w:t xml:space="preserve">di 2 milioni per l’anno 2022 e di </w:t>
      </w:r>
      <w:r w:rsidRPr="00EC14DE">
        <w:rPr>
          <w:rFonts w:cs="Times New Roman"/>
        </w:rPr>
        <w:t>52 milioni di euro annui a decorrere dall’anno 202</w:t>
      </w:r>
      <w:r w:rsidR="00857423" w:rsidRPr="00EC14DE">
        <w:rPr>
          <w:rFonts w:cs="Times New Roman"/>
        </w:rPr>
        <w:t>3</w:t>
      </w:r>
      <w:r w:rsidRPr="00EC14DE">
        <w:rPr>
          <w:rFonts w:cs="Times New Roman"/>
        </w:rPr>
        <w:t>» e sono aggiunti in fine i seguenti periodi: «, nonché al sostegno della partecipazione delle donne al mercato del lavoro, anche attraverso la definizione di procedure per l’acquisizione, da parte delle imprese pubbliche e private, di una certif</w:t>
      </w:r>
      <w:r w:rsidR="00017F9E" w:rsidRPr="00EC14DE">
        <w:rPr>
          <w:rFonts w:cs="Times New Roman"/>
        </w:rPr>
        <w:t xml:space="preserve">icazione della parità di genere, </w:t>
      </w:r>
      <w:r w:rsidRPr="00EC14DE">
        <w:rPr>
          <w:rFonts w:cs="Times New Roman"/>
        </w:rPr>
        <w:t>cui siano connessi benefici contributivi a favore del datore di lavoro. Con decreto del Ministro del lavoro e delle politiche sociali, di concerto con il Ministro dell'economia e delle finanze e del Ministro con delega per le pari opportunità, sono stabilite le modalità di attuazione del presente comma</w:t>
      </w:r>
      <w:r w:rsidR="007E79F2">
        <w:rPr>
          <w:rFonts w:cs="Times New Roman"/>
        </w:rPr>
        <w:t>.</w:t>
      </w:r>
      <w:r w:rsidRPr="00EC14DE">
        <w:rPr>
          <w:rFonts w:cs="Times New Roman"/>
        </w:rPr>
        <w:t xml:space="preserve">». </w:t>
      </w:r>
    </w:p>
    <w:p w14:paraId="5D253EE9" w14:textId="77777777" w:rsidR="00724C76" w:rsidRPr="00EC14DE" w:rsidRDefault="00724C76"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(Piano strategico nazionale per le politiche per la parità di genere)</w:t>
      </w:r>
    </w:p>
    <w:p w14:paraId="78EB5652" w14:textId="77777777" w:rsidR="0006574D" w:rsidRPr="00EC14DE" w:rsidRDefault="0006574D"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 xml:space="preserve">1. Il Presidente del Consiglio dei ministri o l’Autorità politica delegata per le pari opportunità, anche avvalendosi del Fondo per le politiche relative ai diritti e alle pari opportunità, di cui all’articolo 19, comma 3, del decreto-legge 4 luglio 2006, n. 223, convertito, con modificazioni, dalla legge 4 agosto 2006, n. 248, elabora, con il contributo delle amministrazioni interessate delle associazioni di donne impegnate nella promozione della parità di genere e nel contrasto alla discriminazione delle donne, e adotta un “Piano strategico nazionale per la parità di genere”, in coerenza con gli obiettivi della Strategia europea per la parità di genere  2020-2025.  </w:t>
      </w:r>
    </w:p>
    <w:p w14:paraId="775B7448" w14:textId="77777777" w:rsidR="0006574D" w:rsidRPr="00EC14DE" w:rsidRDefault="0006574D"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 xml:space="preserve">2. Il Piano ha l’obiettivo di individuare buone pratiche per combattere gli stereotipi di genere, colmare il divario di genere nel mercato del lavoro, raggiungere la parità nella partecipazione ai diversi settori economici, affrontare il problema del divario retributivo e pensionistico e colmare il divario e conseguire l’equilibrio di genere nel processo decisionale. </w:t>
      </w:r>
    </w:p>
    <w:p w14:paraId="0A88EEF6" w14:textId="77777777" w:rsidR="0006574D" w:rsidRPr="00EC14DE" w:rsidRDefault="0006574D"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3. Per la finalità di cui al comma 1 sono istituiti presso il Dipartimento per le pari opportunità della Presidenza del Consiglio dei Ministri una Cabina di regia interistituzionale e un Osservatorio nazionale per l’integrazione delle politiche per la parità di genere.</w:t>
      </w:r>
    </w:p>
    <w:p w14:paraId="42441022" w14:textId="77777777" w:rsidR="0006574D" w:rsidRPr="00EC14DE" w:rsidRDefault="0006574D"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4. L’Osservatorio nazionale per l’integrazione delle politiche per la parità di genere è costituito da esperti nominati dal Presidente del Consiglio o dall’Autorità politica dallo stesso delegata, anche su designazione delle Regioni, dell’Associazione Nazionale Comuni Italiani e dell’Unione delle Province d’Italia. Ne fanno parte i rappresentanti delle Associazioni impegnate sul tema della parità di genere e delle organizzazioni sindacali maggiormente rappresentative su scala nazionale. Ne fa altresì parte un rappresentante della Rete nazionale dei Comitati Unici di Garanzia, dell’Istituto Nazionale di Statistica, dell’</w:t>
      </w:r>
      <w:r w:rsidRPr="00EC14DE">
        <w:rPr>
          <w:rFonts w:ascii="Times New Roman" w:hAnsi="Times New Roman" w:cs="Times New Roman"/>
          <w:sz w:val="22"/>
          <w:szCs w:val="22"/>
          <w:shd w:val="clear" w:color="auto" w:fill="FFFFFF"/>
        </w:rPr>
        <w:t>Istituto di Ricerche sulla popolazione e le politiche Sociali del Consigli Nazionale delle Ricerche</w:t>
      </w:r>
      <w:r w:rsidR="00FB4DA9" w:rsidRPr="00EC14DE">
        <w:rPr>
          <w:rFonts w:ascii="Times New Roman" w:hAnsi="Times New Roman" w:cs="Times New Roman"/>
          <w:sz w:val="22"/>
          <w:szCs w:val="22"/>
          <w:shd w:val="clear" w:color="auto" w:fill="FFFFFF"/>
        </w:rPr>
        <w:t>, del Ministero dell’economia e delle finanze – Dipartimento della Ragioneria generale dello Stato</w:t>
      </w:r>
      <w:r w:rsidRPr="00EC14DE">
        <w:rPr>
          <w:rFonts w:ascii="Times New Roman" w:hAnsi="Times New Roman" w:cs="Times New Roman"/>
          <w:sz w:val="22"/>
          <w:szCs w:val="22"/>
          <w:shd w:val="clear" w:color="auto" w:fill="FFFFFF"/>
        </w:rPr>
        <w:t xml:space="preserve"> e della Conferenza dei rettori delle Università italiane (C.R.U.I).</w:t>
      </w:r>
      <w:r w:rsidRPr="00EC14DE">
        <w:rPr>
          <w:rFonts w:ascii="Times New Roman" w:hAnsi="Times New Roman" w:cs="Times New Roman"/>
          <w:sz w:val="22"/>
          <w:szCs w:val="22"/>
        </w:rPr>
        <w:t xml:space="preserve"> </w:t>
      </w:r>
    </w:p>
    <w:p w14:paraId="482BCE1B" w14:textId="77777777" w:rsidR="0006574D" w:rsidRPr="00EC14DE" w:rsidRDefault="0006574D"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 xml:space="preserve">5. Competono all’Osservatorio le funzioni di monitoraggio, analisi, studio e proposta dei possibili strumenti per dare attuazione alle indicazioni contenute nel Piano di cui al comma 1, valutandone l’impatto al fine di migliorarne l’efficacia e integrarne gli strumenti. </w:t>
      </w:r>
      <w:r w:rsidR="00133E25" w:rsidRPr="00EC14DE">
        <w:rPr>
          <w:rFonts w:ascii="Times New Roman" w:hAnsi="Times New Roman" w:cs="Times New Roman"/>
          <w:sz w:val="22"/>
          <w:szCs w:val="22"/>
        </w:rPr>
        <w:t>Ai componenti dell’Osservatorio non spettano compensi, gettoni di presenza, rimborsi di spese o altri emolumenti comunque denominati.</w:t>
      </w:r>
    </w:p>
    <w:p w14:paraId="538EAEE9" w14:textId="77777777" w:rsidR="0006574D" w:rsidRPr="00EC14DE" w:rsidRDefault="0006574D"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 xml:space="preserve">6. La Cabina di regia, presieduta dal Presidente del Consiglio dei Ministri o dall’Autorità politica delegata, è il luogo deputato alle funzioni di raccordo tra i livelli istituzionali, anche territoriali, coinvolti, al fine di garantire il coordinamento fra le azioni a livello centrale e territoriale e di individuare e promuovere buone pratiche condivise. </w:t>
      </w:r>
    </w:p>
    <w:p w14:paraId="23D8F6F7" w14:textId="77777777" w:rsidR="0006574D" w:rsidRPr="00EC14DE" w:rsidRDefault="0006574D" w:rsidP="007C594F">
      <w:pPr>
        <w:pStyle w:val="PreformattatoHTML"/>
        <w:widowControl w:val="0"/>
        <w:jc w:val="both"/>
        <w:rPr>
          <w:rFonts w:ascii="Times New Roman" w:hAnsi="Times New Roman" w:cs="Times New Roman"/>
          <w:sz w:val="24"/>
          <w:szCs w:val="22"/>
        </w:rPr>
      </w:pPr>
      <w:r w:rsidRPr="00EC14DE">
        <w:rPr>
          <w:rFonts w:ascii="Times New Roman" w:hAnsi="Times New Roman" w:cs="Times New Roman"/>
          <w:sz w:val="22"/>
          <w:szCs w:val="22"/>
        </w:rPr>
        <w:t xml:space="preserve">7. Al fine di realizzare </w:t>
      </w:r>
      <w:r w:rsidR="00017F9E" w:rsidRPr="00EC14DE">
        <w:rPr>
          <w:rFonts w:ascii="Times New Roman" w:hAnsi="Times New Roman" w:cs="Times New Roman"/>
          <w:sz w:val="22"/>
          <w:szCs w:val="22"/>
        </w:rPr>
        <w:t>un</w:t>
      </w:r>
      <w:r w:rsidR="00F34800" w:rsidRPr="00EC14DE">
        <w:rPr>
          <w:rFonts w:ascii="Times New Roman" w:hAnsi="Times New Roman" w:cs="Times New Roman"/>
          <w:sz w:val="22"/>
          <w:szCs w:val="22"/>
        </w:rPr>
        <w:t xml:space="preserve"> </w:t>
      </w:r>
      <w:r w:rsidRPr="00EC14DE">
        <w:rPr>
          <w:rFonts w:ascii="Times New Roman" w:hAnsi="Times New Roman" w:cs="Times New Roman"/>
          <w:sz w:val="22"/>
          <w:szCs w:val="22"/>
        </w:rPr>
        <w:t>sistema nazionale di certificazione della parità di genere</w:t>
      </w:r>
      <w:r w:rsidR="00BD07E1" w:rsidRPr="00EC14DE">
        <w:rPr>
          <w:rFonts w:ascii="Times New Roman" w:hAnsi="Times New Roman" w:cs="Times New Roman"/>
          <w:sz w:val="22"/>
          <w:szCs w:val="22"/>
        </w:rPr>
        <w:t xml:space="preserve"> </w:t>
      </w:r>
      <w:r w:rsidRPr="00EC14DE">
        <w:rPr>
          <w:rFonts w:ascii="Times New Roman" w:hAnsi="Times New Roman" w:cs="Times New Roman"/>
          <w:sz w:val="22"/>
          <w:szCs w:val="22"/>
        </w:rPr>
        <w:t xml:space="preserve">che accompagni e incentivi le imprese ad adottare policy adeguate a ridurre il gap di genere in relazione alle opportunità di crescita in azienda, parità salariale a parità di mansioni, politiche di gestione delle differenze di genere e tutela della maternità, l’Osservatorio si avvale di un Tavolo di lavoro sulla “certificazione di genere alle imprese”. </w:t>
      </w:r>
      <w:r w:rsidR="00133E25" w:rsidRPr="00EC14DE">
        <w:rPr>
          <w:rFonts w:ascii="Times New Roman" w:hAnsi="Times New Roman" w:cs="Times New Roman"/>
          <w:sz w:val="22"/>
          <w:szCs w:val="22"/>
        </w:rPr>
        <w:t>Ai componenti del Tavolo di lavoro permanente non spettano compensi, gettoni di presenza, rimborsi di spese o altri emolumenti comunque denominati.</w:t>
      </w:r>
    </w:p>
    <w:p w14:paraId="55871ECC" w14:textId="77777777" w:rsidR="0006574D" w:rsidRPr="00EC14DE" w:rsidRDefault="0006574D"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 xml:space="preserve">8. Presso il Dipartimento per le pari opportunità è istituito altresì un sistema informativo con funzione di piattaforma di raccolta di dati disaggregati per genere e di informazioni sulla certificazione, nonché di albo degli enti accreditati. </w:t>
      </w:r>
    </w:p>
    <w:p w14:paraId="3BB5535F" w14:textId="77777777" w:rsidR="0006574D" w:rsidRPr="00EC14DE" w:rsidRDefault="0006574D"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 xml:space="preserve">9. Con uno o più decreti del Presidente del Consiglio o dell’Autorità politica delegata, sono disciplinati la composizione, il funzionamento e i compiti dell’Osservatorio nazionale per le politiche per la parità di genere. Con decreto del Presidente del Consiglio o dell’Autorità politica delegata sono altresì stabiliti i parametri minimi per il conseguimento della certificazione della parità di genere, con particolare riferimento alla retribuzione corrisposta e alla conciliazione dei tempi di vita e di lavoro, nonché di coinvolgimento delle rappresentanze sindacali aziendali e delle consigliere e dei consiglieri territoriali e regionali di parità nel controllo e nella verifica del rispetto dei requisiti necessari al loro mantenimento. </w:t>
      </w:r>
    </w:p>
    <w:p w14:paraId="364C467E" w14:textId="77777777" w:rsidR="0006574D" w:rsidRPr="00EC14DE" w:rsidRDefault="00BC51B5" w:rsidP="007C594F">
      <w:pPr>
        <w:pStyle w:val="PreformattatoHTML"/>
        <w:widowControl w:val="0"/>
        <w:jc w:val="both"/>
        <w:rPr>
          <w:rFonts w:ascii="Times New Roman" w:hAnsi="Times New Roman" w:cs="Times New Roman"/>
          <w:sz w:val="22"/>
          <w:szCs w:val="22"/>
        </w:rPr>
      </w:pPr>
      <w:r w:rsidRPr="00EC14DE">
        <w:rPr>
          <w:rFonts w:ascii="Times New Roman" w:hAnsi="Times New Roman" w:cs="Times New Roman"/>
          <w:sz w:val="22"/>
          <w:szCs w:val="22"/>
        </w:rPr>
        <w:t>10</w:t>
      </w:r>
      <w:r w:rsidR="004B38DF" w:rsidRPr="00EC14DE">
        <w:rPr>
          <w:rFonts w:ascii="Times New Roman" w:hAnsi="Times New Roman" w:cs="Times New Roman"/>
          <w:sz w:val="22"/>
          <w:szCs w:val="22"/>
        </w:rPr>
        <w:t>. Per il finanziamento del Piano di cui al comma 1, il Fondo per le politiche relative ai diritti e alle pari opportunità di cui all’articolo 19, comma 3, del decreto-legge 4 luglio 2006, n. 223, convertito, con modificazioni, dalla legge 4 agosto 2006, n. 248, è incrementato di 5 milioni di euro a decorrere dal 2022.</w:t>
      </w:r>
    </w:p>
    <w:p w14:paraId="27392797" w14:textId="77777777" w:rsidR="00880D30" w:rsidRPr="00EC14DE" w:rsidRDefault="00880D30" w:rsidP="007C594F">
      <w:pPr>
        <w:pStyle w:val="PreformattatoHTML"/>
        <w:widowControl w:val="0"/>
        <w:jc w:val="both"/>
        <w:rPr>
          <w:rFonts w:ascii="Times New Roman" w:hAnsi="Times New Roman" w:cs="Times New Roman"/>
          <w:sz w:val="22"/>
          <w:szCs w:val="22"/>
        </w:rPr>
      </w:pPr>
    </w:p>
    <w:p w14:paraId="56B0A133" w14:textId="77777777" w:rsidR="001F1CD1" w:rsidRPr="002C2BDB" w:rsidRDefault="001F1CD1" w:rsidP="002C2BDB">
      <w:pPr>
        <w:pStyle w:val="Titolo3"/>
        <w:rPr>
          <w:rFonts w:eastAsia="Times New Roman"/>
        </w:rPr>
      </w:pPr>
      <w:r w:rsidRPr="002C2BDB">
        <w:t xml:space="preserve">ART. </w:t>
      </w:r>
      <w:r w:rsidRPr="002C2BDB">
        <w:fldChar w:fldCharType="begin"/>
      </w:r>
      <w:r w:rsidRPr="002C2BDB">
        <w:instrText xml:space="preserve"> AUTONUM  \* Arabic </w:instrText>
      </w:r>
      <w:r w:rsidRPr="002C2BDB">
        <w:fldChar w:fldCharType="end"/>
      </w:r>
      <w:r w:rsidRPr="002C2BDB">
        <w:br/>
      </w:r>
      <w:r w:rsidRPr="002C2BDB">
        <w:rPr>
          <w:rFonts w:eastAsia="Times New Roman"/>
        </w:rPr>
        <w:t>(Disposizioni in materia di Piano strategico nazionale contro la violenza di genere)</w:t>
      </w:r>
    </w:p>
    <w:p w14:paraId="5124F718" w14:textId="77777777" w:rsidR="001F1CD1" w:rsidRPr="002C2BDB" w:rsidRDefault="001F1CD1" w:rsidP="00552A2A">
      <w:pPr>
        <w:shd w:val="clear" w:color="auto" w:fill="FFFFFF"/>
        <w:rPr>
          <w:rFonts w:eastAsia="Times New Roman" w:cs="Times New Roman"/>
        </w:rPr>
      </w:pPr>
      <w:r w:rsidRPr="002C2BDB">
        <w:rPr>
          <w:rFonts w:eastAsia="Times New Roman" w:cs="Times New Roman"/>
        </w:rPr>
        <w:t xml:space="preserve">1. All’articolo 5 del decreto-legge 14 agosto 2013, n. 93 sono apportate le seguenti modificazioni: </w:t>
      </w:r>
    </w:p>
    <w:p w14:paraId="12283E32" w14:textId="77777777" w:rsidR="001F1CD1" w:rsidRPr="002C2BDB" w:rsidRDefault="001F1CD1" w:rsidP="001F1CD1">
      <w:pPr>
        <w:rPr>
          <w:rFonts w:eastAsia="Times New Roman" w:cs="Times New Roman"/>
        </w:rPr>
      </w:pPr>
      <w:r w:rsidRPr="002C2BDB">
        <w:rPr>
          <w:rFonts w:eastAsia="Times New Roman" w:cs="Times New Roman"/>
        </w:rPr>
        <w:t xml:space="preserve">a) Il comma 1 è sostituito dal seguente: </w:t>
      </w:r>
    </w:p>
    <w:p w14:paraId="2CE6BBEA" w14:textId="77777777" w:rsidR="001F1CD1" w:rsidRPr="002C2BDB" w:rsidRDefault="001F1CD1" w:rsidP="001F1CD1">
      <w:pPr>
        <w:rPr>
          <w:rFonts w:eastAsia="Times New Roman" w:cs="Times New Roman"/>
        </w:rPr>
      </w:pPr>
      <w:r w:rsidRPr="002C2BDB">
        <w:rPr>
          <w:rFonts w:eastAsia="Times New Roman" w:cs="Times New Roman"/>
        </w:rPr>
        <w:t>«1. Il Presidente del Consiglio dei ministri o l’Autorità politica delegata per le pari opportunità, anche avvalendosi del Fondo per le politiche relative ai diritti e alle pari opportunità, di cui all’articolo 19, comma 3, del decreto-legge 4 luglio 2006, n. 223, convertito, con modificazioni, dalla legge 4 agosto 2006, n. 248, elabora, con il contributo delle amministrazioni interessate, delle associazioni di donne impegnate nella lotta contro la violenza e dei centri antiviolenza, e adotta, previa acquisizione del parere in sede di Conferenza Unificata, un “Piano strategico nazionale contro la violenza nei confronti delle donne e la violenza domestica”, di seguito  denominato  “Piano”, con cadenza almeno triennale, in  sinergia con gli obiettivi della Convenzione del Consiglio di Europa sulla prevenzione e la lotta contro la violenza nei confronti delle donne e la violenza domestica (Convenzione di Istanbul).»</w:t>
      </w:r>
    </w:p>
    <w:p w14:paraId="2AC3B8E1" w14:textId="77777777" w:rsidR="001F1CD1" w:rsidRPr="002C2BDB" w:rsidRDefault="001F1CD1" w:rsidP="001F1CD1">
      <w:pPr>
        <w:rPr>
          <w:rFonts w:eastAsia="Times New Roman" w:cs="Times New Roman"/>
        </w:rPr>
      </w:pPr>
      <w:r w:rsidRPr="002C2BDB">
        <w:rPr>
          <w:rFonts w:eastAsia="Times New Roman" w:cs="Times New Roman"/>
        </w:rPr>
        <w:t xml:space="preserve">b) il comma 2 è sostituito dal seguente: </w:t>
      </w:r>
    </w:p>
    <w:p w14:paraId="31986469" w14:textId="77777777" w:rsidR="001F1CD1" w:rsidRPr="002C2BDB" w:rsidRDefault="001F1CD1" w:rsidP="001F1CD1">
      <w:pPr>
        <w:rPr>
          <w:rFonts w:eastAsia="Times New Roman" w:cs="Times New Roman"/>
        </w:rPr>
      </w:pPr>
      <w:r w:rsidRPr="002C2BDB">
        <w:rPr>
          <w:rFonts w:eastAsia="Times New Roman" w:cs="Times New Roman"/>
        </w:rPr>
        <w:t>«2. Il Piano, con l'obiettivo di garantire azioni omogenee nel territorio nazionale, persegue le seguenti finalità</w:t>
      </w:r>
      <w:r w:rsidR="00492CBD" w:rsidRPr="002C2BDB">
        <w:rPr>
          <w:rFonts w:eastAsia="Times New Roman" w:cs="Times New Roman"/>
        </w:rPr>
        <w:t>, nei limiti delle risorse finanziarie di cui al comma 3</w:t>
      </w:r>
      <w:r w:rsidRPr="002C2BDB">
        <w:rPr>
          <w:rFonts w:eastAsia="Times New Roman" w:cs="Times New Roman"/>
        </w:rPr>
        <w:t>:</w:t>
      </w:r>
    </w:p>
    <w:p w14:paraId="3E50CD5D" w14:textId="77777777" w:rsidR="001F1CD1" w:rsidRPr="002C2BDB" w:rsidRDefault="001F1CD1" w:rsidP="001F1CD1">
      <w:pPr>
        <w:shd w:val="clear" w:color="auto" w:fill="FFFFFF"/>
        <w:ind w:firstLine="400"/>
        <w:rPr>
          <w:rFonts w:eastAsia="Times New Roman" w:cs="Times New Roman"/>
        </w:rPr>
      </w:pPr>
      <w:r w:rsidRPr="002C2BDB">
        <w:rPr>
          <w:rFonts w:eastAsia="Times New Roman" w:cs="Times New Roman"/>
        </w:rPr>
        <w:t xml:space="preserve">a) prevenire il fenomeno della violenza contro le donne attraverso l'informazione e la sensibilizzazione della collettività, rafforzando la consapevolezza degli uomini e dei ragazzi nel processo di eliminazione della violenza contro le donne e nella soluzione dei conflitti nei rapporti interpersonali; </w:t>
      </w:r>
    </w:p>
    <w:p w14:paraId="3CE32B9F" w14:textId="77777777" w:rsidR="001F1CD1" w:rsidRPr="002C2BDB" w:rsidRDefault="001F1CD1" w:rsidP="001F1CD1">
      <w:pPr>
        <w:shd w:val="clear" w:color="auto" w:fill="FFFFFF"/>
        <w:ind w:firstLine="400"/>
        <w:rPr>
          <w:rFonts w:eastAsia="Times New Roman" w:cs="Times New Roman"/>
        </w:rPr>
      </w:pPr>
      <w:r w:rsidRPr="002C2BDB">
        <w:rPr>
          <w:rFonts w:eastAsia="Times New Roman" w:cs="Times New Roman"/>
        </w:rPr>
        <w:t xml:space="preserve">b) sensibilizzare gli operatori dei settori dei media per la realizzazione di una comunicazione e informazione, anche commerciale, rispettosa della rappresentazione di genere e, in particolare, della figura femminile anche attraverso l'adozione di codici di autoregolamentazione da parte degli operatori medesimi; </w:t>
      </w:r>
    </w:p>
    <w:p w14:paraId="720D4D7F" w14:textId="77777777" w:rsidR="001F1CD1" w:rsidRPr="002C2BDB" w:rsidRDefault="001F1CD1" w:rsidP="001F1CD1">
      <w:pPr>
        <w:shd w:val="clear" w:color="auto" w:fill="FFFFFF"/>
        <w:ind w:firstLine="400"/>
        <w:rPr>
          <w:rFonts w:eastAsia="Times New Roman" w:cs="Times New Roman"/>
        </w:rPr>
      </w:pPr>
      <w:r w:rsidRPr="002C2BDB">
        <w:rPr>
          <w:rFonts w:eastAsia="Times New Roman" w:cs="Times New Roman"/>
        </w:rPr>
        <w:t xml:space="preserve">c) promuovere un'adeguata formazione del personale della scuola alla relazione e contro la violenza e la discriminazione di genere e promuovere, nell'ambito delle indicazioni nazionali per il curricolo della scuola dell'infanzia e del primo ciclo di istruzione, delle indicazioni nazionali per i licei e delle linee guida per gli istituti tecnici e professionali, nella programmazione didattica curricolare ed extracurricolare delle scuole di ogni ordine e grado, la sensibilizzazione, l'informazione e la formazione degli studenti al fine di prevenire la violenza nei confronti delle donne e la discriminazione di genere, anche attraverso un'adeguata valorizzazione della tematica nei libri di testo; </w:t>
      </w:r>
    </w:p>
    <w:p w14:paraId="03630012" w14:textId="77777777" w:rsidR="001F1CD1" w:rsidRPr="002C2BDB" w:rsidRDefault="001F1CD1" w:rsidP="001F1CD1">
      <w:pPr>
        <w:shd w:val="clear" w:color="auto" w:fill="FFFFFF"/>
        <w:ind w:firstLine="400"/>
        <w:rPr>
          <w:rFonts w:eastAsia="Times New Roman" w:cs="Times New Roman"/>
        </w:rPr>
      </w:pPr>
      <w:r w:rsidRPr="002C2BDB">
        <w:rPr>
          <w:rFonts w:eastAsia="Times New Roman" w:cs="Times New Roman"/>
        </w:rPr>
        <w:t>d) potenziare le forme di assistenza e di sostegno alle donne vittime di violenza e ai loro figli attraverso modalità omogenee di rafforzamento della rete dei servizi territoriali, dei centri antiviolenza e dei servizi di assistenza alle donne vittime di violenza;</w:t>
      </w:r>
      <w:bookmarkStart w:id="15" w:name="23up"/>
      <w:bookmarkEnd w:id="15"/>
    </w:p>
    <w:p w14:paraId="08065AA1" w14:textId="77777777" w:rsidR="001F1CD1" w:rsidRPr="002C2BDB" w:rsidRDefault="001F1CD1" w:rsidP="001F1CD1">
      <w:pPr>
        <w:shd w:val="clear" w:color="auto" w:fill="FFFFFF"/>
        <w:ind w:firstLine="400"/>
        <w:rPr>
          <w:rFonts w:eastAsia="Times New Roman" w:cs="Times New Roman"/>
        </w:rPr>
      </w:pPr>
      <w:r w:rsidRPr="002C2BDB">
        <w:rPr>
          <w:rFonts w:eastAsia="Times New Roman" w:cs="Times New Roman"/>
        </w:rPr>
        <w:t xml:space="preserve">e) garantire la formazione di tutte le professionalità che entrano in contatto con fatti di violenza di genere o di stalking; </w:t>
      </w:r>
    </w:p>
    <w:p w14:paraId="76CF8CC8" w14:textId="77777777" w:rsidR="001F1CD1" w:rsidRPr="002C2BDB" w:rsidRDefault="001F1CD1" w:rsidP="001F1CD1">
      <w:pPr>
        <w:shd w:val="clear" w:color="auto" w:fill="FFFFFF"/>
        <w:ind w:firstLine="400"/>
        <w:rPr>
          <w:rFonts w:eastAsia="Times New Roman" w:cs="Times New Roman"/>
        </w:rPr>
      </w:pPr>
      <w:r w:rsidRPr="002C2BDB">
        <w:rPr>
          <w:rFonts w:eastAsia="Times New Roman" w:cs="Times New Roman"/>
        </w:rPr>
        <w:t xml:space="preserve">f) accrescere la protezione delle vittime attraverso il rafforzamento della collaborazione tra tutte le istituzioni coinvolte; </w:t>
      </w:r>
    </w:p>
    <w:p w14:paraId="1358BAA3" w14:textId="77777777" w:rsidR="001F1CD1" w:rsidRPr="002C2BDB" w:rsidRDefault="001F1CD1" w:rsidP="001F1CD1">
      <w:pPr>
        <w:shd w:val="clear" w:color="auto" w:fill="FFFFFF"/>
        <w:ind w:firstLine="400"/>
        <w:rPr>
          <w:rFonts w:eastAsia="Times New Roman" w:cs="Times New Roman"/>
        </w:rPr>
      </w:pPr>
      <w:r w:rsidRPr="002C2BDB">
        <w:rPr>
          <w:rFonts w:eastAsia="Times New Roman" w:cs="Times New Roman"/>
        </w:rPr>
        <w:t xml:space="preserve">g) promuovere lo sviluppo e l'attivazione, in tutto il territorio nazionale, di azioni, basate su metodologie consolidate e coerenti con linee guida appositamente predisposte, di recupero e di accompagnamento dei soggetti responsabili di atti di violenza nelle relazioni affettive, al fine di favorirne il recupero e di limitare i casi di recidiva; </w:t>
      </w:r>
    </w:p>
    <w:p w14:paraId="4DFCBAEF" w14:textId="77777777" w:rsidR="001F1CD1" w:rsidRPr="002C2BDB" w:rsidRDefault="001F1CD1" w:rsidP="001F1CD1">
      <w:pPr>
        <w:shd w:val="clear" w:color="auto" w:fill="FFFFFF"/>
        <w:ind w:firstLine="400"/>
        <w:rPr>
          <w:rFonts w:eastAsia="Times New Roman" w:cs="Times New Roman"/>
        </w:rPr>
      </w:pPr>
      <w:r w:rsidRPr="002C2BDB">
        <w:rPr>
          <w:rFonts w:eastAsia="Times New Roman" w:cs="Times New Roman"/>
        </w:rPr>
        <w:t xml:space="preserve">h) prevedere una raccolta strutturata e periodicamente aggiornata, con cadenza almeno annuale, dei dati del fenomeno, ivi compreso il censimento dei centri antiviolenza, anche attraverso il coordinamento delle banche di dati già esistenti; </w:t>
      </w:r>
    </w:p>
    <w:p w14:paraId="739C33BE" w14:textId="77777777" w:rsidR="001F1CD1" w:rsidRPr="002C2BDB" w:rsidRDefault="001F1CD1" w:rsidP="001F1CD1">
      <w:pPr>
        <w:shd w:val="clear" w:color="auto" w:fill="FFFFFF"/>
        <w:ind w:firstLine="400"/>
        <w:rPr>
          <w:rFonts w:eastAsia="Times New Roman" w:cs="Times New Roman"/>
        </w:rPr>
      </w:pPr>
      <w:r w:rsidRPr="002C2BDB">
        <w:rPr>
          <w:rFonts w:eastAsia="Times New Roman" w:cs="Times New Roman"/>
        </w:rPr>
        <w:t xml:space="preserve">i) prevedere specifiche azioni positive che tengano anche conto delle competenze delle amministrazioni impegnate nella prevenzione, nel contrasto e nel sostegno delle vittime di violenza di genere e di stalking e delle esperienze delle associazioni che svolgono assistenza nel settore; </w:t>
      </w:r>
    </w:p>
    <w:p w14:paraId="4A7A06D2" w14:textId="77777777" w:rsidR="001F1CD1" w:rsidRPr="002C2BDB" w:rsidRDefault="001F1CD1" w:rsidP="001F1CD1">
      <w:pPr>
        <w:shd w:val="clear" w:color="auto" w:fill="FFFFFF"/>
        <w:ind w:firstLine="400"/>
        <w:rPr>
          <w:rFonts w:eastAsia="Times New Roman" w:cs="Times New Roman"/>
        </w:rPr>
      </w:pPr>
      <w:r w:rsidRPr="002C2BDB">
        <w:rPr>
          <w:rFonts w:eastAsia="Times New Roman" w:cs="Times New Roman"/>
        </w:rPr>
        <w:t xml:space="preserve">l) definire un sistema strutturato di governance tra tutti i livelli di governo, che si basi anche sulle diverse esperienze e sulle buone pratiche già realizzate nelle reti locali e sul territorio». </w:t>
      </w:r>
    </w:p>
    <w:p w14:paraId="46647770" w14:textId="77777777" w:rsidR="001F1CD1" w:rsidRPr="002C2BDB" w:rsidRDefault="001F1CD1" w:rsidP="001F1CD1">
      <w:pPr>
        <w:shd w:val="clear" w:color="auto" w:fill="FFFFFF"/>
        <w:rPr>
          <w:rFonts w:eastAsia="Times New Roman" w:cs="Times New Roman"/>
        </w:rPr>
      </w:pPr>
      <w:r w:rsidRPr="002C2BDB">
        <w:rPr>
          <w:rFonts w:eastAsia="Times New Roman" w:cs="Times New Roman"/>
        </w:rPr>
        <w:t xml:space="preserve">c) dopo il comma 2 è inserito il seguente: </w:t>
      </w:r>
    </w:p>
    <w:p w14:paraId="1746D2AA" w14:textId="77777777" w:rsidR="001F1CD1" w:rsidRPr="002C2BDB" w:rsidRDefault="001F1CD1" w:rsidP="001F1CD1">
      <w:pPr>
        <w:shd w:val="clear" w:color="auto" w:fill="FFFFFF"/>
        <w:rPr>
          <w:rFonts w:eastAsia="Times New Roman" w:cs="Times New Roman"/>
        </w:rPr>
      </w:pPr>
      <w:r w:rsidRPr="002C2BDB">
        <w:rPr>
          <w:rFonts w:eastAsia="Times New Roman" w:cs="Times New Roman"/>
        </w:rPr>
        <w:t xml:space="preserve">«2-bis. Al fine di definire un sistema strutturato di </w:t>
      </w:r>
      <w:r w:rsidRPr="002C2BDB">
        <w:rPr>
          <w:rFonts w:eastAsia="Times New Roman" w:cs="Times New Roman"/>
          <w:i/>
          <w:iCs/>
        </w:rPr>
        <w:t>governance</w:t>
      </w:r>
      <w:r w:rsidRPr="002C2BDB">
        <w:rPr>
          <w:rFonts w:eastAsia="Times New Roman" w:cs="Times New Roman"/>
        </w:rPr>
        <w:t xml:space="preserve"> tra tutti i livelli di governo, sono istituiti presso il Dipartimento per le pari opportunità della Presidenza del Consiglio dei Ministri una Cabina di regia interistituzionale e un Osservatorio sul fenomeno della violenza nei confronti delle donne e sulla violenza domestica. Con uno o più decreti del Presidente del Consiglio o dell’Autorità politica delegata, sono disciplinati la composizione, il funzionamento e i compiti della Cabina di Regia e dell’Osservatorio nazionale sul fenomeno della violenza sulle donne e di genere</w:t>
      </w:r>
      <w:r w:rsidR="00492CBD" w:rsidRPr="002C2BDB">
        <w:rPr>
          <w:rFonts w:eastAsia="Times New Roman" w:cs="Times New Roman"/>
        </w:rPr>
        <w:t>. Ai componenti della Cabina di Regia e dell’Osservatorio di cui al primo periodo non spettano compensi, gettoni di presenza, rimborsi di spese o altri emolumenti comunque denominati.</w:t>
      </w:r>
      <w:r w:rsidRPr="002C2BDB">
        <w:rPr>
          <w:rFonts w:eastAsia="Times New Roman" w:cs="Times New Roman"/>
        </w:rPr>
        <w:t xml:space="preserve">». </w:t>
      </w:r>
    </w:p>
    <w:p w14:paraId="130C8878" w14:textId="77777777" w:rsidR="001F1CD1" w:rsidRPr="002C2BDB" w:rsidRDefault="001F1CD1" w:rsidP="001F1CD1">
      <w:pPr>
        <w:shd w:val="clear" w:color="auto" w:fill="FFFFFF"/>
        <w:rPr>
          <w:rFonts w:eastAsia="Times New Roman" w:cs="Times New Roman"/>
        </w:rPr>
      </w:pPr>
      <w:r w:rsidRPr="002C2BDB">
        <w:rPr>
          <w:rFonts w:eastAsia="Times New Roman" w:cs="Times New Roman"/>
        </w:rPr>
        <w:t xml:space="preserve">d) i commi 3, 4 e 5 sono sostituiti dai seguenti: </w:t>
      </w:r>
    </w:p>
    <w:p w14:paraId="62DC2CB9" w14:textId="77777777" w:rsidR="001F1CD1" w:rsidRPr="002C2BDB" w:rsidRDefault="00514C68" w:rsidP="001F1CD1">
      <w:pPr>
        <w:shd w:val="clear" w:color="auto" w:fill="FFFFFF"/>
        <w:rPr>
          <w:rFonts w:eastAsia="Times New Roman" w:cs="Times New Roman"/>
        </w:rPr>
      </w:pPr>
      <w:r w:rsidRPr="002C2BDB">
        <w:rPr>
          <w:rFonts w:eastAsia="Times New Roman" w:cs="Times New Roman"/>
        </w:rPr>
        <w:t>«3. Per il finanziamento del Piano di cui al comma 1, il Fondo per le politiche relative ai diritti e alle pari opportunità di cui all’articolo 19, comma 3, del decreto-legge 4 luglio 2006, n. 223, convertito, con modificazioni, dalla legge 4 agosto 2006, n. 248, è incrementato di 5 milioni di euro annui a decorrere dall’anno 2022. Tali risorse sono destinate dal Presidente del Consiglio o dall’Autorità politica delegata per le pari opportunità, alle azioni a titolarità nazionale e regionale previste dal Piano, fatte salve quelle di cui al comma 2, lettera d) del presente articolo. Le risorse destinate alle azioni a titolarità regionale ai sensi del presente comma sono ripartite annualmente tra le regioni dal Presidente del Consiglio dei ministri o dell’Autorità politica delegata per le pari opportunità, previa intesa in sede di Conferenza Permanente per i rapporti tra lo Stato, le regioni e le province autonome di Trento e di Bolzano, con il medesimo provvedimento di cui al comma 2 dell’art. 5 bis del presente decreto. 4. All'attuazione delle disposizioni contenute nel presente articolo, fatto salvo quanto previsto dal comma 3, si provvede mediante l'utilizzo delle risorse umane, strumentali e finanziarie disponibili a legislazione vigente, senza nuovi o maggiori oneri a carico della finanza pubblica».</w:t>
      </w:r>
    </w:p>
    <w:p w14:paraId="33AC99D6" w14:textId="77777777" w:rsidR="001F1CD1" w:rsidRPr="002C2BDB" w:rsidRDefault="001F1CD1" w:rsidP="001F1CD1">
      <w:pPr>
        <w:shd w:val="clear" w:color="auto" w:fill="FFFFFF"/>
        <w:rPr>
          <w:rFonts w:eastAsia="Times New Roman" w:cs="Times New Roman"/>
        </w:rPr>
      </w:pPr>
      <w:r w:rsidRPr="002C2BDB">
        <w:rPr>
          <w:rFonts w:eastAsia="Times New Roman" w:cs="Times New Roman"/>
        </w:rPr>
        <w:t>3. L’articolo 1, comma 353, della legge 27 dicembre 2019, n.160 è soppresso.</w:t>
      </w:r>
      <w:r w:rsidRPr="002C2BDB">
        <w:rPr>
          <w:rFonts w:eastAsia="Times New Roman" w:cs="Times New Roman"/>
          <w:bCs/>
        </w:rPr>
        <w:t xml:space="preserve"> </w:t>
      </w:r>
      <w:r w:rsidRPr="002C2BDB">
        <w:rPr>
          <w:rFonts w:eastAsia="Times New Roman" w:cs="Times New Roman"/>
        </w:rPr>
        <w:t xml:space="preserve">Il Ministro dell'economia e delle finanze è autorizzato ad apportare, con propri decreti, le occorrenti variazioni di bilancio. </w:t>
      </w:r>
    </w:p>
    <w:p w14:paraId="7F967E68" w14:textId="77777777" w:rsidR="000C61AE" w:rsidRPr="00EC14DE" w:rsidRDefault="000C61AE" w:rsidP="000C61AE">
      <w:pPr>
        <w:pStyle w:val="Titolo3"/>
      </w:pPr>
      <w:bookmarkStart w:id="16" w:name="_Toc87297115"/>
      <w:r w:rsidRPr="00EC14DE">
        <w:t xml:space="preserve">ART. </w:t>
      </w:r>
      <w:r w:rsidRPr="00EC14DE">
        <w:fldChar w:fldCharType="begin"/>
      </w:r>
      <w:r w:rsidRPr="00EC14DE">
        <w:instrText xml:space="preserve"> AUTONUM  \* Arabic </w:instrText>
      </w:r>
      <w:r w:rsidRPr="00EC14DE">
        <w:fldChar w:fldCharType="end"/>
      </w:r>
      <w:r w:rsidRPr="00EC14DE">
        <w:br/>
        <w:t>(Proroga delle misure in favore dell'acquisto della casa di abitazione</w:t>
      </w:r>
      <w:r w:rsidR="00BC51B5" w:rsidRPr="00EC14DE">
        <w:t xml:space="preserve">, </w:t>
      </w:r>
      <w:r w:rsidR="00F9581B" w:rsidRPr="00EC14DE">
        <w:t>nonché misure per l’apprendistato dei giovani lavoratori sportivi</w:t>
      </w:r>
      <w:r w:rsidRPr="00EC14DE">
        <w:t>)</w:t>
      </w:r>
      <w:bookmarkEnd w:id="16"/>
    </w:p>
    <w:p w14:paraId="4B7C498D" w14:textId="77777777" w:rsidR="000C61AE" w:rsidRPr="00EC14DE" w:rsidRDefault="000C61AE" w:rsidP="000C61AE">
      <w:pPr>
        <w:widowControl w:val="0"/>
      </w:pPr>
      <w:r w:rsidRPr="00EC14DE">
        <w:t>1. All'articolo 64, del decreto-legge 25 maggio 2021, n. 73, convertito, con modificazioni, dalla legge 23 luglio 2021, n. 106, sono apportate le seguenti modificazioni:</w:t>
      </w:r>
    </w:p>
    <w:p w14:paraId="7A1E841B" w14:textId="77777777" w:rsidR="000C61AE" w:rsidRPr="00EC14DE" w:rsidRDefault="000C61AE" w:rsidP="000C61AE">
      <w:pPr>
        <w:widowControl w:val="0"/>
      </w:pPr>
      <w:r w:rsidRPr="00EC14DE">
        <w:t>a) al comma 3 le parole “al 30 giugno 2022”, sono sostituite dalle seguenti: “al 31 dicembre 2022;</w:t>
      </w:r>
    </w:p>
    <w:p w14:paraId="7FBEF07F" w14:textId="77777777" w:rsidR="000C61AE" w:rsidRPr="00EC14DE" w:rsidRDefault="000C61AE" w:rsidP="000C61AE">
      <w:pPr>
        <w:widowControl w:val="0"/>
      </w:pPr>
      <w:r w:rsidRPr="00EC14DE">
        <w:t>b) al comma 9 le parole “al 30 giugno 2022”, sono sostituite dalle seguenti: “al 31 dicembre 2022”.</w:t>
      </w:r>
    </w:p>
    <w:p w14:paraId="5B1D3F88" w14:textId="77777777" w:rsidR="000C61AE" w:rsidRPr="00EC14DE" w:rsidRDefault="000C61AE" w:rsidP="000C61AE">
      <w:pPr>
        <w:widowControl w:val="0"/>
      </w:pPr>
      <w:r w:rsidRPr="00EC14DE">
        <w:t>2. Al Fondo di garanzia per la prima casa di cui all'articolo 1, comma 48, lettera c), della legge 27 dicembre 2013, n. 147, sono assegnati ulteriori 242 milioni di euro per l'anno 2022.</w:t>
      </w:r>
    </w:p>
    <w:p w14:paraId="0C1B26F1" w14:textId="77777777" w:rsidR="000C61AE" w:rsidRPr="00EC14DE" w:rsidRDefault="000C61AE" w:rsidP="000C61AE">
      <w:pPr>
        <w:widowControl w:val="0"/>
      </w:pPr>
      <w:r w:rsidRPr="00EC14DE">
        <w:t>3. Per le operazioni di finanziamento previste dall’art. 64, comma 3, del decreto-legge 25 maggio 2021, n. 73, convertito con modificazioni dalla legge 23 luglio 2021, n. 106. ammesse all’intervento della garanzia del Fondo di cui all'articolo 1, comma 48, lettera c), della legge 27 dicembre 2013, n. 147, viene accantonato a coefficiente di rischio un importo non inferiore all'8 per cento dell'importo garantito del finanziamento stesso.</w:t>
      </w:r>
    </w:p>
    <w:p w14:paraId="08B1998F" w14:textId="77777777" w:rsidR="003D6C51" w:rsidRPr="00EC14DE" w:rsidRDefault="00F9581B" w:rsidP="00C83229">
      <w:pPr>
        <w:widowControl w:val="0"/>
      </w:pPr>
      <w:r w:rsidRPr="00EC14DE">
        <w:t xml:space="preserve">4. </w:t>
      </w:r>
      <w:r w:rsidRPr="00EC14DE">
        <w:rPr>
          <w:iCs/>
        </w:rPr>
        <w:t>Per le società e associazioni sportive professionistiche che assumono lavoratori sportivi con contratto di apprendistato professionalizzante il limite massimo di età di cui all’articolo 44, comma 1, primo periodo, del decreto legislativo 15 giugno 2015, n. 81, è ridotto a 23 anni.</w:t>
      </w:r>
    </w:p>
    <w:p w14:paraId="205CCAA8" w14:textId="77777777" w:rsidR="005109B7" w:rsidRPr="00EC14DE" w:rsidRDefault="005109B7"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Style w:val="s1"/>
          <w:rFonts w:cs="Times New Roman"/>
          <w:szCs w:val="22"/>
        </w:rPr>
        <w:t>(</w:t>
      </w:r>
      <w:r w:rsidR="00B36A07" w:rsidRPr="00EC14DE">
        <w:rPr>
          <w:rFonts w:cs="Times New Roman"/>
          <w:szCs w:val="22"/>
        </w:rPr>
        <w:t>Detrazioni fiscali delle locazioni stipulate dai giovani</w:t>
      </w:r>
      <w:r w:rsidRPr="00EC14DE">
        <w:t xml:space="preserve">) </w:t>
      </w:r>
    </w:p>
    <w:p w14:paraId="22D7625B" w14:textId="77777777" w:rsidR="00F753F6" w:rsidRPr="00EC14DE" w:rsidRDefault="00F753F6" w:rsidP="00F753F6">
      <w:pPr>
        <w:pStyle w:val="wordsection1"/>
        <w:jc w:val="both"/>
        <w:rPr>
          <w:sz w:val="22"/>
          <w:szCs w:val="22"/>
        </w:rPr>
      </w:pPr>
      <w:r w:rsidRPr="00EC14DE">
        <w:rPr>
          <w:sz w:val="22"/>
          <w:szCs w:val="22"/>
        </w:rPr>
        <w:t>1. L’articolo 16, comma 1-ter, del testo unico delle imposte sui redditi, di cui al decreto del Presidente della Repubblica 22 dicembre 1986, n. 917, è sostituito dal seguente: “1</w:t>
      </w:r>
      <w:r w:rsidRPr="00EC14DE">
        <w:rPr>
          <w:sz w:val="22"/>
          <w:szCs w:val="22"/>
        </w:rPr>
        <w:noBreakHyphen/>
        <w:t>ter. Ai giovani di età compresa fra i 20 e i 31 anni non compiuti, con un reddito complessivo non superiore a 15.493,71 euro, che stipulano un contratto di locazione ai sensi della legge 9 dicembre 1998, n. 431, per l'intera unità immobiliare o porzione di essa da destinare a propria residenza, sempre che la stessa sia diversa dall'abitazione principale dei genitori o di coloro cui sono affidati dagli organi competenti ai sensi di legge, spetta, per i primi quattro anni di durata contrattuale, una detrazione dall’imposta lorda pari a euro 991,60, ovvero, se superiore, pari al 20 per cento dell’ammontare del canone di locazione e comunque entro il limite massimo di euro 2.000 di detrazione.”</w:t>
      </w:r>
    </w:p>
    <w:p w14:paraId="3BE4EFEF" w14:textId="77777777" w:rsidR="00AE1FE4" w:rsidRPr="00EC14DE" w:rsidRDefault="00AE1FE4" w:rsidP="00F753F6">
      <w:pPr>
        <w:pStyle w:val="wordsection1"/>
        <w:jc w:val="center"/>
        <w:rPr>
          <w:b/>
          <w:bCs/>
          <w:sz w:val="22"/>
          <w:szCs w:val="22"/>
        </w:rPr>
      </w:pPr>
    </w:p>
    <w:p w14:paraId="58D58A7A" w14:textId="77777777" w:rsidR="00C10F5A" w:rsidRPr="00EC14DE" w:rsidRDefault="00337B97" w:rsidP="00D901CA">
      <w:pPr>
        <w:pStyle w:val="Titolo3"/>
        <w:rPr>
          <w:szCs w:val="22"/>
        </w:rPr>
      </w:pPr>
      <w:r w:rsidRPr="00EC14DE">
        <w:t xml:space="preserve">ART. </w:t>
      </w:r>
      <w:r w:rsidRPr="00EC14DE">
        <w:fldChar w:fldCharType="begin"/>
      </w:r>
      <w:r w:rsidRPr="00EC14DE">
        <w:instrText xml:space="preserve"> AUTONUM  \* Arabic </w:instrText>
      </w:r>
      <w:r w:rsidRPr="00EC14DE">
        <w:fldChar w:fldCharType="end"/>
      </w:r>
      <w:r w:rsidR="008F1ECC" w:rsidRPr="00EC14DE">
        <w:br/>
      </w:r>
      <w:r w:rsidR="00C10F5A" w:rsidRPr="00EC14DE">
        <w:t>(Anno europeo dei giovani e Fondo per la prevenzione e il contrasto delle dipendenze tra le giovani generazioni)</w:t>
      </w:r>
    </w:p>
    <w:p w14:paraId="132E3E51" w14:textId="77777777" w:rsidR="00C10F5A" w:rsidRPr="002C2BDB" w:rsidRDefault="00337B97" w:rsidP="002C2BDB">
      <w:pPr>
        <w:pStyle w:val="wordsection1"/>
        <w:jc w:val="both"/>
        <w:rPr>
          <w:sz w:val="22"/>
          <w:szCs w:val="22"/>
        </w:rPr>
      </w:pPr>
      <w:r w:rsidRPr="002C2BDB">
        <w:rPr>
          <w:sz w:val="22"/>
          <w:szCs w:val="22"/>
        </w:rPr>
        <w:t xml:space="preserve">1. </w:t>
      </w:r>
      <w:r w:rsidR="00C10F5A" w:rsidRPr="002C2BDB">
        <w:rPr>
          <w:sz w:val="22"/>
          <w:szCs w:val="22"/>
        </w:rPr>
        <w:t>Ai fini della celebrazione, nell’anno 2022, dell’Anno europeo dei giovani, è autorizzata la spesa di 5 milioni di euro per il medesimo anno, per la realizzazione di iniziative di valenza nazionale ispirate ai principi guida della strategia dell’Unione europea per la gioventù e volte a favorire l’attivazione e la più ampia partecipazione dei giovani. Con decreto del Ministro per le politiche giovanili sono stabiliti gli indirizzi e i criteri nonché le modalità di utilizzo delle risorse del fondo.</w:t>
      </w:r>
    </w:p>
    <w:p w14:paraId="701974A7" w14:textId="77777777" w:rsidR="00C10F5A" w:rsidRPr="002C2BDB" w:rsidRDefault="00337B97" w:rsidP="002C2BDB">
      <w:pPr>
        <w:pStyle w:val="wordsection1"/>
        <w:jc w:val="both"/>
        <w:rPr>
          <w:sz w:val="22"/>
          <w:szCs w:val="22"/>
        </w:rPr>
      </w:pPr>
      <w:r w:rsidRPr="002C2BDB">
        <w:rPr>
          <w:sz w:val="22"/>
          <w:szCs w:val="22"/>
        </w:rPr>
        <w:t xml:space="preserve">2. </w:t>
      </w:r>
      <w:r w:rsidR="00C10F5A" w:rsidRPr="002C2BDB">
        <w:rPr>
          <w:sz w:val="22"/>
          <w:szCs w:val="22"/>
        </w:rPr>
        <w:t xml:space="preserve">In considerazione delle conseguenze causate dall’emergenza epidemiologica da Covid - 19, è istituito il Fondo di intervento per la prevenzione e il contrasto delle dipendenze tra le giovani generazioni, di seguito “Fondo”, il cui stanziamento è trasferito al bilancio autonomo della Presidenza del Consiglio dei ministri, allo scopo di finanziare politiche volte a supportare l’attività di promozione, indirizzo e coordinamento delle finalità del Fondo. Il Fondo è destinato a finanziare la realizzazione di progetti a valenza ed impatto nazionale in materia di prevenzione e contrasto delle dipendenze comportamentali e da sostanze nelle giovani generazioni. All’attuazione dei progetti possono concorrere i servizi pubblici, gli enti di ricerca pubblici e privati, le università e gli enti del privato sociale. Al fine di dare immediato impulso alle prime attività progettuali, la dotazione finanziaria del Fondo è costituita con 2 milioni di euro per ciascuno degli anni 2022 e 2023. Entro 60 giorni dalla data di entrata in vigore della presente legge, con decreto del Ministro delle politiche giovanili sono stabiliti i criteri e le modalità per l’utilizzazione delle risorse del fondo. </w:t>
      </w:r>
    </w:p>
    <w:p w14:paraId="1B9D1299" w14:textId="77777777" w:rsidR="00C10F5A" w:rsidRPr="00EC14DE" w:rsidRDefault="00337B97" w:rsidP="008F1ECC">
      <w:pPr>
        <w:pStyle w:val="Titolo3"/>
      </w:pPr>
      <w:r w:rsidRPr="00EC14DE">
        <w:t xml:space="preserve">ART. </w:t>
      </w:r>
      <w:r w:rsidRPr="00EC14DE">
        <w:fldChar w:fldCharType="begin"/>
      </w:r>
      <w:r w:rsidRPr="00EC14DE">
        <w:instrText xml:space="preserve"> AUTONUM  \* Arabic </w:instrText>
      </w:r>
      <w:r w:rsidRPr="00EC14DE">
        <w:fldChar w:fldCharType="end"/>
      </w:r>
      <w:r w:rsidR="008F1ECC" w:rsidRPr="00EC14DE">
        <w:br/>
      </w:r>
      <w:r w:rsidR="00C10F5A" w:rsidRPr="00EC14DE">
        <w:t>(Istituzione del Centro Nazionale del Servizio Civile Universale con sede a L’Aquila)</w:t>
      </w:r>
    </w:p>
    <w:p w14:paraId="73DF28A8" w14:textId="77777777" w:rsidR="00C10F5A" w:rsidRPr="00EC14DE" w:rsidRDefault="00C10F5A" w:rsidP="00D535EC">
      <w:pPr>
        <w:pStyle w:val="wordsection1"/>
        <w:jc w:val="both"/>
        <w:rPr>
          <w:sz w:val="22"/>
          <w:szCs w:val="22"/>
        </w:rPr>
      </w:pPr>
      <w:r w:rsidRPr="00EC14DE">
        <w:rPr>
          <w:sz w:val="22"/>
          <w:szCs w:val="22"/>
        </w:rPr>
        <w:t>1. Al decreto legislativo 6 marzo 2017, n. 40, dopo l’artico</w:t>
      </w:r>
      <w:r w:rsidR="00337B97" w:rsidRPr="00EC14DE">
        <w:rPr>
          <w:sz w:val="22"/>
          <w:szCs w:val="22"/>
        </w:rPr>
        <w:t xml:space="preserve">lo 10, è inserito il seguente: </w:t>
      </w:r>
    </w:p>
    <w:p w14:paraId="5327B442" w14:textId="77777777" w:rsidR="00C10F5A" w:rsidRPr="00EC14DE" w:rsidRDefault="00C10F5A" w:rsidP="00337B97">
      <w:pPr>
        <w:pStyle w:val="wordsection1"/>
        <w:jc w:val="center"/>
        <w:rPr>
          <w:sz w:val="22"/>
          <w:szCs w:val="22"/>
        </w:rPr>
      </w:pPr>
      <w:r w:rsidRPr="00EC14DE">
        <w:rPr>
          <w:sz w:val="22"/>
          <w:szCs w:val="22"/>
        </w:rPr>
        <w:t>“10-bis</w:t>
      </w:r>
    </w:p>
    <w:p w14:paraId="353B324D" w14:textId="77777777" w:rsidR="00C10F5A" w:rsidRPr="00EC14DE" w:rsidRDefault="00C10F5A" w:rsidP="00337B97">
      <w:pPr>
        <w:pStyle w:val="wordsection1"/>
        <w:jc w:val="center"/>
        <w:rPr>
          <w:sz w:val="22"/>
          <w:szCs w:val="22"/>
        </w:rPr>
      </w:pPr>
      <w:r w:rsidRPr="00EC14DE">
        <w:rPr>
          <w:sz w:val="22"/>
          <w:szCs w:val="22"/>
        </w:rPr>
        <w:t>(Centro nazionale del servizio civile universale)</w:t>
      </w:r>
    </w:p>
    <w:p w14:paraId="3B058426" w14:textId="77777777" w:rsidR="00C10F5A" w:rsidRPr="00EC14DE" w:rsidRDefault="00C10F5A" w:rsidP="00D535EC">
      <w:pPr>
        <w:pStyle w:val="wordsection1"/>
        <w:jc w:val="both"/>
        <w:rPr>
          <w:sz w:val="22"/>
          <w:szCs w:val="22"/>
        </w:rPr>
      </w:pPr>
      <w:r w:rsidRPr="00EC14DE">
        <w:rPr>
          <w:sz w:val="22"/>
          <w:szCs w:val="22"/>
        </w:rPr>
        <w:t xml:space="preserve">1. Per sostenere le finalità e gli obiettivi assegnati al servizio civile universale e assicurare anche la compiuta realizzazione del progetto di potenziamento del servizio medesimo previsto nell’ambito del Piano Nazionale di Ripresa e Resilienza, è istituito il Centro Nazionale del Servizio Civile Universale, con sede nel comune dell’Aquila. </w:t>
      </w:r>
    </w:p>
    <w:p w14:paraId="5DAB66EA" w14:textId="77777777" w:rsidR="00C10F5A" w:rsidRPr="00EC14DE" w:rsidRDefault="00C10F5A" w:rsidP="00D535EC">
      <w:pPr>
        <w:pStyle w:val="wordsection1"/>
        <w:jc w:val="both"/>
        <w:rPr>
          <w:sz w:val="22"/>
          <w:szCs w:val="22"/>
        </w:rPr>
      </w:pPr>
      <w:r w:rsidRPr="00EC14DE">
        <w:rPr>
          <w:sz w:val="22"/>
          <w:szCs w:val="22"/>
        </w:rPr>
        <w:t xml:space="preserve">2. Il Centro di cui al comma 1, quale sede delle attività connesse ai programmi e ai progetti per lo svolgimento del servizio civile universale, ha lo scopo di garantirne l’armonizzazione e il consolidamento dei processi organizzativi e formativi, potenziare l’acquisizione di competenze dei giovani operatori volontari del servizio civile nonché favorire e accelerare il processo di rigenerazione e rivitalizzazione urbana, sociale, culturale e tecnologica della città di L’Aquila e dei territori abruzzesi colpiti dal sisma nel 2009. </w:t>
      </w:r>
    </w:p>
    <w:p w14:paraId="1398194B" w14:textId="77777777" w:rsidR="00C10F5A" w:rsidRPr="00EC14DE" w:rsidRDefault="00C10F5A" w:rsidP="00D535EC">
      <w:pPr>
        <w:pStyle w:val="wordsection1"/>
        <w:jc w:val="both"/>
        <w:rPr>
          <w:sz w:val="22"/>
          <w:szCs w:val="22"/>
        </w:rPr>
      </w:pPr>
      <w:r w:rsidRPr="00EC14DE">
        <w:rPr>
          <w:sz w:val="22"/>
          <w:szCs w:val="22"/>
        </w:rPr>
        <w:t xml:space="preserve">3. Le modalità di fruizione delle unità immobiliari destinate al Centro di cui al comma 1 sono stabilite per il tramite di specifica convenzione tra il Comune dell’Aquila, la struttura di missione per il coordinamento dei processi di ricostruzione e sviluppo dei territori colpiti dal sisma del 6 aprile 2009 e il Dipartimento delle politiche giovanili e il servizio civile universale della Presidenza del Consiglio dei ministri. </w:t>
      </w:r>
    </w:p>
    <w:p w14:paraId="4D0F1681" w14:textId="77777777" w:rsidR="00C10F5A" w:rsidRPr="00EC14DE" w:rsidRDefault="00C10F5A" w:rsidP="00D535EC">
      <w:pPr>
        <w:pStyle w:val="wordsection1"/>
        <w:jc w:val="both"/>
        <w:rPr>
          <w:sz w:val="22"/>
          <w:szCs w:val="22"/>
        </w:rPr>
      </w:pPr>
      <w:r w:rsidRPr="00EC14DE">
        <w:rPr>
          <w:sz w:val="22"/>
          <w:szCs w:val="22"/>
        </w:rPr>
        <w:t xml:space="preserve">4. Per far fronte agli oneri di gestione e di funzionamento del Centro di cui al comma 1, il Fondo nazionale per il servizio civile di cui all’articolo 19, della legge 8 luglio 1998, n. 230, è incrementato di 5 milioni di euro a decorrere dal 2022. </w:t>
      </w:r>
    </w:p>
    <w:p w14:paraId="56DF3EE9" w14:textId="77777777" w:rsidR="00C10F5A" w:rsidRPr="00EC14DE" w:rsidRDefault="00C10F5A" w:rsidP="00D535EC">
      <w:pPr>
        <w:pStyle w:val="wordsection1"/>
        <w:jc w:val="both"/>
        <w:rPr>
          <w:sz w:val="22"/>
          <w:szCs w:val="22"/>
        </w:rPr>
      </w:pPr>
      <w:r w:rsidRPr="00EC14DE">
        <w:rPr>
          <w:sz w:val="22"/>
          <w:szCs w:val="22"/>
        </w:rPr>
        <w:t>5. Il Dipartimento delle politiche giovanili e il servizio civile universale della Presidenza del Consiglio dei ministri, nell’ambito delle competenze e delle attribuzioni di cui al decreto legislativo 6 marzo 2017, n. 40, assicura</w:t>
      </w:r>
      <w:r w:rsidR="00E8349E" w:rsidRPr="00EC14DE">
        <w:rPr>
          <w:sz w:val="22"/>
          <w:szCs w:val="22"/>
        </w:rPr>
        <w:t>, nell’ambito delle risorse umane, strumentali e finanziarie disponibili e legislazione vigente,</w:t>
      </w:r>
      <w:r w:rsidRPr="00EC14DE">
        <w:rPr>
          <w:sz w:val="22"/>
          <w:szCs w:val="22"/>
        </w:rPr>
        <w:t xml:space="preserve"> l’esercizio delle funzioni, delle azioni e delle attività del Centro di cui al comma 1. </w:t>
      </w:r>
    </w:p>
    <w:p w14:paraId="4D7D47A3" w14:textId="77777777" w:rsidR="00C10F5A" w:rsidRPr="00EC14DE" w:rsidRDefault="00C10F5A" w:rsidP="00D535EC">
      <w:pPr>
        <w:pStyle w:val="wordsection1"/>
        <w:jc w:val="both"/>
        <w:rPr>
          <w:sz w:val="22"/>
          <w:szCs w:val="22"/>
        </w:rPr>
      </w:pPr>
      <w:r w:rsidRPr="00EC14DE">
        <w:rPr>
          <w:sz w:val="22"/>
          <w:szCs w:val="22"/>
        </w:rPr>
        <w:t xml:space="preserve">6. Con uno o più decreti del Ministro per le politiche giovanili possono essere definite ulteriori e specifiche misure per l’attuazione delle disposizioni del presente articolo </w:t>
      </w:r>
    </w:p>
    <w:p w14:paraId="5A320DA2" w14:textId="77777777" w:rsidR="00C10F5A" w:rsidRPr="00EC14DE" w:rsidRDefault="00C10F5A" w:rsidP="00D535EC">
      <w:pPr>
        <w:pStyle w:val="wordsection1"/>
        <w:jc w:val="both"/>
        <w:rPr>
          <w:sz w:val="22"/>
          <w:szCs w:val="22"/>
        </w:rPr>
      </w:pPr>
      <w:r w:rsidRPr="00EC14DE">
        <w:rPr>
          <w:sz w:val="22"/>
          <w:szCs w:val="22"/>
        </w:rPr>
        <w:t>nonché le modalità inerenti all’organizzazione e alla funzionalità</w:t>
      </w:r>
      <w:r w:rsidR="00C83229" w:rsidRPr="00EC14DE">
        <w:rPr>
          <w:sz w:val="22"/>
          <w:szCs w:val="22"/>
        </w:rPr>
        <w:t xml:space="preserve"> del Centro di cui al comma 1. </w:t>
      </w:r>
    </w:p>
    <w:p w14:paraId="4D41DC63" w14:textId="77777777" w:rsidR="00163862" w:rsidRPr="00EC14DE" w:rsidRDefault="00163862" w:rsidP="00163862">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(Livelli essenziali delle prestazioni sociali per la non autosufficienza)</w:t>
      </w:r>
    </w:p>
    <w:p w14:paraId="72B0A850" w14:textId="77777777" w:rsidR="00163862" w:rsidRPr="002C2BDB" w:rsidRDefault="00163862" w:rsidP="00163862">
      <w:pPr>
        <w:pStyle w:val="wordsection1"/>
        <w:jc w:val="both"/>
        <w:rPr>
          <w:sz w:val="22"/>
          <w:szCs w:val="22"/>
        </w:rPr>
      </w:pPr>
      <w:r w:rsidRPr="002C2BDB">
        <w:rPr>
          <w:sz w:val="22"/>
          <w:szCs w:val="22"/>
        </w:rPr>
        <w:t>1. I livelli essenziali delle prestazioni sociali, di seguito LEPS, del presente articolo sono costituiti dagli interventi, dai servizi, dalle attività e dalle prestazioni integrate che la Repubblica assicura, sulla base di quanto previsto dall’articolo 117, secondo comma, lettera m), della Costituzione e in coerenza con i principi e i criteri indicati agli articoli 1 e 2 della legge 8 novembre 2000, n. 328, con carattere di universalità su tutto il territorio nazionale per garantire qualità della vita, pari opportunità, non discriminazione, prevenzione, eliminazione o riduzione delle condizioni di svantaggio e di vulnerabilità.</w:t>
      </w:r>
    </w:p>
    <w:p w14:paraId="7E3609E8" w14:textId="77777777" w:rsidR="00163862" w:rsidRPr="002C2BDB" w:rsidRDefault="00163862" w:rsidP="00163862">
      <w:pPr>
        <w:pStyle w:val="wordsection1"/>
        <w:jc w:val="both"/>
        <w:rPr>
          <w:sz w:val="22"/>
          <w:szCs w:val="22"/>
        </w:rPr>
      </w:pPr>
      <w:r w:rsidRPr="002C2BDB">
        <w:rPr>
          <w:sz w:val="22"/>
          <w:szCs w:val="22"/>
        </w:rPr>
        <w:t>2. Al fine di garantire la programmazione, il coordinamento e la realizzazione dell’offerta integrata dei LEPS sul territorio, nonché di concorrere alla piena attuazione degli interventi previsti dal Programma nazionale di ripresa e resilienza (PNRR) nell’ambito delle politiche per l’inclusione e la coesione sociale, i LEPS sono realizzati dagli ambiti territoriali sociali di cui all'articolo 8, comma 3, lettera a), della legge 8 novembre 2000, n. 328, di seguito ATS, che costituiscono la sede necessaria nella quale programmare, coordinare, realizzare e gestire gli interventi, i servizi e le attività utili al raggiungimento dei LEPS, fermo restando quanto previsto dall’articolo 23 del decreto legislativo 15 settembre 2017, n. 147.</w:t>
      </w:r>
    </w:p>
    <w:p w14:paraId="7A270B6E" w14:textId="77777777" w:rsidR="00163862" w:rsidRPr="002C2BDB" w:rsidRDefault="00163862" w:rsidP="00163862">
      <w:pPr>
        <w:pStyle w:val="wordsection1"/>
        <w:jc w:val="both"/>
        <w:rPr>
          <w:sz w:val="22"/>
          <w:szCs w:val="22"/>
        </w:rPr>
      </w:pPr>
      <w:r w:rsidRPr="002C2BDB">
        <w:rPr>
          <w:sz w:val="22"/>
          <w:szCs w:val="22"/>
        </w:rPr>
        <w:t>3. Mediante apposita intesa in sede di Conferenza Unificata su iniziativa del Ministro del lavoro e delle politiche sociali di concerto con il Ministro della salute</w:t>
      </w:r>
      <w:r w:rsidRPr="002C2BDB">
        <w:t xml:space="preserve"> </w:t>
      </w:r>
      <w:r w:rsidRPr="002C2BDB">
        <w:rPr>
          <w:sz w:val="22"/>
          <w:szCs w:val="22"/>
        </w:rPr>
        <w:t>e del Ministro dell’economia e delle finanze si provvede alla definizione delle linee guida per l’attuazione, ai sensi dell’articolo 4 della legge 8 novembre 2000, n. 328, degli interventi di cui al presente articolo e per l’adozione di atti di programmazione integrata, garantendo l’omogeneità del modello organizzativo degli ambiti territoriali sociali e la ripartizione delle risorse assegnate dallo Stato per il finanziamento dei LEPS.</w:t>
      </w:r>
    </w:p>
    <w:p w14:paraId="46EE686E" w14:textId="77777777" w:rsidR="00163862" w:rsidRPr="002C2BDB" w:rsidRDefault="00163862" w:rsidP="00163862">
      <w:pPr>
        <w:pStyle w:val="wordsection1"/>
        <w:jc w:val="both"/>
        <w:rPr>
          <w:sz w:val="22"/>
          <w:szCs w:val="22"/>
        </w:rPr>
      </w:pPr>
      <w:r w:rsidRPr="002C2BDB">
        <w:rPr>
          <w:sz w:val="22"/>
          <w:szCs w:val="22"/>
        </w:rPr>
        <w:t>4. Fermo restando quanto previsto dal decreto del Presidente del Consiglio dei ministri 12 gennaio 2017, i servizi socioassistenziali volti a promuovere la continuità e la qualità di vita a domicilio e nel contesto sociale di appartenenza delle persone anziane non autosufficienti, comprese le nuove forme di coabitazione solidale delle persone anziane, sono erogati dagli ATS, nelle seguenti aree:</w:t>
      </w:r>
    </w:p>
    <w:p w14:paraId="43292C56" w14:textId="77777777" w:rsidR="00163862" w:rsidRPr="002C2BDB" w:rsidRDefault="00163862" w:rsidP="00163862">
      <w:pPr>
        <w:pStyle w:val="wordsection1"/>
        <w:jc w:val="both"/>
        <w:rPr>
          <w:sz w:val="22"/>
          <w:szCs w:val="22"/>
        </w:rPr>
      </w:pPr>
      <w:r w:rsidRPr="002C2BDB">
        <w:rPr>
          <w:sz w:val="22"/>
          <w:szCs w:val="22"/>
        </w:rPr>
        <w:t>a) assistenza domiciliare sociale e assistenza sociale integrata con i servizi sanitari, quale servizio rivolto a persone anziane non autosufficienti o a persone anziane con ridotta autonomia o a rischio di emarginazione, che richiedono supporto nello svolgimento delle attività fondamentali della vita quotidiana caratterizzati dalla prevalenza degli interventi di cura della persona e di sostegno psico-socio-educativo anche ad integrazione di interventi di natura sociosanitaria; soluzioni abitative, anche in coerenza con la programmazione degli interventi del PNRR, mediante ricorso a nuove forme di coabitazione solidale delle persone anziane, rafforzamento degli interventi delle reti di prossimità intergenerazionale e tra persone anziane, adattamenti dell’abitazione alle esigenze della persona con soluzioni domotiche e tecnologiche che favoriscono la continuità delle relazioni personali e sociali a domicilio compresi i servizi di telesoccorso e teleassistenza;</w:t>
      </w:r>
    </w:p>
    <w:p w14:paraId="1D96BA0F" w14:textId="77777777" w:rsidR="00163862" w:rsidRPr="002C2BDB" w:rsidRDefault="00163862" w:rsidP="00163862">
      <w:pPr>
        <w:pStyle w:val="wordsection1"/>
        <w:jc w:val="both"/>
        <w:rPr>
          <w:sz w:val="22"/>
          <w:szCs w:val="22"/>
        </w:rPr>
      </w:pPr>
      <w:r w:rsidRPr="002C2BDB">
        <w:rPr>
          <w:sz w:val="22"/>
          <w:szCs w:val="22"/>
        </w:rPr>
        <w:t>b) servizi sociali di sollievo per le persone anziane non autosufficienti e le loro famiglie, quali: il pronto intervento per le emergenze temporanee, diurne e notturne, gestito da personale qualificato; un servizio di sostituzione temporanea degli assistenti familiari in occasione di ferie, malattia e maternità; l’attivazione e l’organizzazione mirata dell’aiuto alle famiglie valorizzando la collaborazione volontaria delle risorse informali di prossimità e quella degli enti del Terzo Settore anche mediante gli strumenti di programmazione e progettazione partecipata secondo quanto previsto dal decreto legislativo 3 luglio 2017 n. 117, nonché sulla base delle esperienze di prevenzione, di solidarietà intergenerazionale e di volontariato locali;</w:t>
      </w:r>
    </w:p>
    <w:p w14:paraId="3A6C8A9F" w14:textId="77777777" w:rsidR="00163862" w:rsidRPr="002C2BDB" w:rsidRDefault="00163862" w:rsidP="00163862">
      <w:pPr>
        <w:pStyle w:val="wordsection1"/>
        <w:jc w:val="both"/>
        <w:rPr>
          <w:sz w:val="22"/>
          <w:szCs w:val="22"/>
        </w:rPr>
      </w:pPr>
      <w:r w:rsidRPr="002C2BDB">
        <w:rPr>
          <w:sz w:val="22"/>
          <w:szCs w:val="22"/>
        </w:rPr>
        <w:t>c) servizi sociali di supporto per le persone anziane non autosufficienti e le loro famiglie, quali: la messa a disposizione di strumenti qualificati per favorire l’incontro tra la domanda e l’offerta di lavoro degli assistenti familiari in collaborazione con i Centri per l’impiego del territorio; l’assistenza gestionale, legale e amministrativa alle famiglie per l’espletamento di adempimenti.</w:t>
      </w:r>
    </w:p>
    <w:p w14:paraId="710EBFF0" w14:textId="77777777" w:rsidR="00163862" w:rsidRPr="002C2BDB" w:rsidRDefault="00163862" w:rsidP="00163862">
      <w:pPr>
        <w:pStyle w:val="wordsection1"/>
        <w:jc w:val="both"/>
        <w:rPr>
          <w:sz w:val="22"/>
          <w:szCs w:val="22"/>
        </w:rPr>
      </w:pPr>
      <w:r w:rsidRPr="002C2BDB">
        <w:rPr>
          <w:sz w:val="22"/>
          <w:szCs w:val="22"/>
        </w:rPr>
        <w:t>5. Il Servizio sanitario nazionale e gli ATS garantiscono, mediante le risorse umane e strumentali di rispettiva competenza, alle persone in condizioni di non autosufficienza l’accesso ai servizi sociali e ai servizi sociosanitari attraverso punti unici di accesso, di seguito PUA che hanno la sede operativa presso le articolazioni del servizio sanitario denominate Case della comunità. Presso i PUA operano equipe integrate composte da personale adeguatamente formato e numericamente sufficiente appartenente al Servizio sanitario e agli ATS. Tali equipe integrate, nel rispetto di quanto previsto dal decreto del Presidente del Consiglio dei ministri 12 gennaio 2017 per la valutazione del complesso dei bisogni di natura clinica, funzionale e sociale delle persone, assicurano la funzionalità delle unità di valutazione multidimensionale (UVM) della capacità bio-psico-sociale dell’individuo, anche al fine delineare il carico assistenziale per consentire la permanenza della persona in condizioni di non autosufficienza nel proprio contesto di vita in condizioni di dignità, sicurezza e comfort, riducendo il rischio di isolamento sociale e il ricorso ad ospedalizzazioni non strettamente necessarie. Sulla base della valutazione dell’UVM, con il coinvolgimento della persona in condizioni di non autosufficienza e della sua famiglia o dell’amministratore di sostegno, l’equipe integrata procede alla definizione del progetto di assistenza individuale integrata, (PAI), contenente l’indicazione degli interventi modulati secondo l’intensità del bisogno. Il PAI individua altresì le responsabilità, i compiti e le modalità di svolgimento dell’attività degli operatori sanitari, sociali e assistenziali che intervengono nella presa in carico della persona, nonché l’apporto della famiglia e degli altri soggetti che collaborano alla sua realizzazione. La programmazione degli interventi e la presa in carico si avvalgono del raccordo informativo, anche telematico, con l’INPS.</w:t>
      </w:r>
    </w:p>
    <w:p w14:paraId="5DE653A5" w14:textId="77777777" w:rsidR="00163862" w:rsidRPr="002C2BDB" w:rsidRDefault="00163862" w:rsidP="00163862">
      <w:pPr>
        <w:pStyle w:val="wordsection1"/>
        <w:jc w:val="both"/>
        <w:rPr>
          <w:sz w:val="22"/>
          <w:szCs w:val="22"/>
        </w:rPr>
      </w:pPr>
      <w:r w:rsidRPr="002C2BDB">
        <w:rPr>
          <w:sz w:val="22"/>
          <w:szCs w:val="22"/>
        </w:rPr>
        <w:t>6. Gli ATS garantiscono l’offerta dei servizi e degli interventi di cui alle aree individuate al comma 4. L’offerta può essere integrata da contributi, diversi dall’indennità di accompagnamento di cui alla legge 11 febbraio 1980, n.18, per il sostegno della domiciliarità e dell'autonomia personale delle persone anziane non autosufficienti e il supporto ai familiari che partecipano all’assistenza. Tali contributi sono utilizzabili esclusivamente per remunerare il lavoro di cura svolto da operatori titolari di rapporto di lavoro conforme ai contratti collettivi nazionali di settore di cui all’articolo 51 del decreto legislativo 15 giugno 2015, n. 81 o per l’acquisto di servizi forniti da imprese qualificate nel settore della assistenza sociale non residenziale.</w:t>
      </w:r>
    </w:p>
    <w:p w14:paraId="6823CBB6" w14:textId="77777777" w:rsidR="00163862" w:rsidRPr="002C2BDB" w:rsidRDefault="00163862" w:rsidP="00163862">
      <w:pPr>
        <w:pStyle w:val="wordsection1"/>
        <w:jc w:val="both"/>
        <w:rPr>
          <w:sz w:val="22"/>
          <w:szCs w:val="22"/>
        </w:rPr>
      </w:pPr>
      <w:r w:rsidRPr="002C2BDB">
        <w:rPr>
          <w:sz w:val="22"/>
          <w:szCs w:val="22"/>
        </w:rPr>
        <w:t>7. Al fine di qualificare il lavoro di cura, con intese stipulate dalle associazioni sottoscrittrici dei contratti collettivi nazionali di cui al comma 8 possono essere previsti percorsi di formazione, anche mediante gli enti bilaterali di cui all’articolo 2, comma 1, lettera h), del decreto legislativo 10 settembre 2003, n. 276.</w:t>
      </w:r>
    </w:p>
    <w:p w14:paraId="404AFF1A" w14:textId="77777777" w:rsidR="00163862" w:rsidRPr="002C2BDB" w:rsidRDefault="00163862" w:rsidP="00163862">
      <w:pPr>
        <w:pStyle w:val="wordsection1"/>
        <w:jc w:val="both"/>
        <w:rPr>
          <w:sz w:val="22"/>
          <w:szCs w:val="22"/>
        </w:rPr>
      </w:pPr>
      <w:r w:rsidRPr="002C2BDB">
        <w:rPr>
          <w:sz w:val="22"/>
          <w:szCs w:val="22"/>
        </w:rPr>
        <w:t>8. Il Ministero del lavoro e delle politiche sociali, nel rispetto delle previsioni del decreto legislativo 14 settembre 2015, n. 150, in collaborazione con l'Agenzia Nazionale per le Politiche Attive del Lavoro - ANPAL e previa intesa in sede di Conferenza Unificata, definisce strumenti e modelli di supporto, utilizzabili su tutto il territorio nazionale, agli interventi di cui al comma 4, lett. c) nonché alle attività e ai programmi di formazione professionale di cui al comma 7, ai progetti formativi a favore dei familiari delle persone anziane non autosufficienti.</w:t>
      </w:r>
    </w:p>
    <w:p w14:paraId="18295733" w14:textId="77777777" w:rsidR="00163862" w:rsidRPr="002C2BDB" w:rsidRDefault="00163862" w:rsidP="00163862">
      <w:pPr>
        <w:pStyle w:val="wordsection1"/>
        <w:jc w:val="both"/>
        <w:rPr>
          <w:bCs/>
          <w:sz w:val="22"/>
          <w:szCs w:val="22"/>
        </w:rPr>
      </w:pPr>
      <w:r w:rsidRPr="002C2BDB">
        <w:rPr>
          <w:bCs/>
          <w:sz w:val="22"/>
          <w:szCs w:val="22"/>
        </w:rPr>
        <w:t>9. Con uno o più decreti del Presidente del Consiglio dei Ministri, su proposta del Ministro del lavoro e delle politiche sociali, di concerto con il Ministro della salute e con il Ministro dell’economia e finanze, previa intesa in sede di Conferenza Unificata, sono determinate, ai fini della graduale introduzione dei LEPS, le modalità attuative, le azioni di monitoraggio e la verifica del loro raggiungimento per le persone anziane non autosufficienti, nell’ambito degli stanziamenti vigenti  inclusi quelli di cui al comma 10.</w:t>
      </w:r>
    </w:p>
    <w:p w14:paraId="0502EF56" w14:textId="77777777" w:rsidR="00163862" w:rsidRPr="002C2BDB" w:rsidRDefault="00163862" w:rsidP="00163862">
      <w:pPr>
        <w:pStyle w:val="wordsection1"/>
        <w:jc w:val="both"/>
        <w:rPr>
          <w:sz w:val="22"/>
          <w:szCs w:val="22"/>
        </w:rPr>
      </w:pPr>
      <w:r w:rsidRPr="002C2BDB">
        <w:rPr>
          <w:sz w:val="22"/>
          <w:szCs w:val="22"/>
        </w:rPr>
        <w:t xml:space="preserve">10. Per le finalità di cui al comma 4, lettere a), b), e c) e di cui al comma 5, fermi restando gli interventi a valere sullo stesso Fondo per le non autosufficienze già destinati al sostegno delle persone in condizioni di disabilità gravissima previsti dalla normativa vigente e dettagliati dal Piano per la non autosufficienza di cui all’art. 21, comma 6, lettera c, del Decreto legislativo n. 147 del 15 settembre 2917, il Fondo per le non autosufficienze è integrato per un ammontare pari a euro 100 milioni per l’anno 2022, a euro 200 milioni per l’anno 2023, a euro 250 milioni per l’anno 2024 e a euro 300 milioni a decorrere dal 2025. </w:t>
      </w:r>
    </w:p>
    <w:p w14:paraId="5CA4655F" w14:textId="77777777" w:rsidR="00163862" w:rsidRPr="002C2BDB" w:rsidRDefault="00163862" w:rsidP="00163862">
      <w:pPr>
        <w:pStyle w:val="wordsection1"/>
        <w:jc w:val="both"/>
        <w:rPr>
          <w:sz w:val="22"/>
          <w:szCs w:val="22"/>
        </w:rPr>
      </w:pPr>
      <w:r w:rsidRPr="002C2BDB">
        <w:rPr>
          <w:sz w:val="22"/>
          <w:szCs w:val="22"/>
        </w:rPr>
        <w:t>11. Entro diciotto mesi dall'entrata in vigore della presente legge, con uno o più decreti del Ministro del lavoro e delle politiche sociali, di concerto col Ministro dell'economia e delle finanze, nei limiti delle risorse disponibili a legislazione vigente, sono definiti i LEPS, negli altri ambiti del sociale, diversi dalla non autosufficienza, con riferimento alle aree di intervento e ai servizi già individuati ai sensi dell'articolo 22, commi 2 e 4, della legge 8 novembre 2000, n. 328. Tali LEPS integrano quelli già definiti ai sensi degli articoli 5 e 23 del decreto legislativo 15 settembre 2017, n. 147, ai sensi degli articoli 1 e 4 del decreto-legge 28 gennaio 2019, n. 4, convertito, con modificazioni, dalla legge 28 marzo 2019, n. 26 e dell'articolo 1, comma 797, della legge 30 dicembre 2020, n. 178 e si raccordano con gli obiettivi di servizio di cui al decreto del Presidente del Consiglio dei ministri 1 luglio 2021 recante "Obiettivi di servizio e modalità di monitoraggio per definire il livello dei servizi offerti e l'utilizzo delle risorse da destinare al finanziamento e allo sviluppo dei servizi sociali".</w:t>
      </w:r>
    </w:p>
    <w:p w14:paraId="29D1D105" w14:textId="77777777" w:rsidR="00163862" w:rsidRPr="002C2BDB" w:rsidRDefault="00163862" w:rsidP="00163862">
      <w:pPr>
        <w:pStyle w:val="wordsection1"/>
        <w:jc w:val="both"/>
        <w:rPr>
          <w:sz w:val="22"/>
          <w:szCs w:val="22"/>
        </w:rPr>
      </w:pPr>
      <w:r w:rsidRPr="002C2BDB">
        <w:rPr>
          <w:sz w:val="22"/>
          <w:szCs w:val="22"/>
        </w:rPr>
        <w:t>12. In sede di prima applicazione sono definiti i LEPS individuati come prioritari nell'ambito del Piano nazionale degli interventi e dei servizi sociali 2021-2023, approvato dalla Rete della protezione e dell'inclusione sociale ai sensi dell'articolo 21 del decreto legislativo n. 147 del 2017 nella seduta del 28 luglio 2021:</w:t>
      </w:r>
    </w:p>
    <w:p w14:paraId="714C68AE" w14:textId="77777777" w:rsidR="00163862" w:rsidRPr="002C2BDB" w:rsidRDefault="00163862" w:rsidP="00163862">
      <w:pPr>
        <w:pStyle w:val="wordsection1"/>
        <w:jc w:val="both"/>
        <w:rPr>
          <w:sz w:val="22"/>
          <w:szCs w:val="22"/>
        </w:rPr>
      </w:pPr>
      <w:r w:rsidRPr="002C2BDB">
        <w:rPr>
          <w:sz w:val="22"/>
          <w:szCs w:val="22"/>
        </w:rPr>
        <w:t>a. pronto intervento sociale;</w:t>
      </w:r>
    </w:p>
    <w:p w14:paraId="1B58E070" w14:textId="77777777" w:rsidR="00163862" w:rsidRPr="002C2BDB" w:rsidRDefault="00163862" w:rsidP="00163862">
      <w:pPr>
        <w:pStyle w:val="wordsection1"/>
        <w:jc w:val="both"/>
        <w:rPr>
          <w:sz w:val="22"/>
          <w:szCs w:val="22"/>
        </w:rPr>
      </w:pPr>
      <w:r w:rsidRPr="002C2BDB">
        <w:rPr>
          <w:sz w:val="22"/>
          <w:szCs w:val="22"/>
        </w:rPr>
        <w:t>b. supervisione del personale dei servizi sociali;</w:t>
      </w:r>
    </w:p>
    <w:p w14:paraId="3BA6DAAA" w14:textId="77777777" w:rsidR="00163862" w:rsidRPr="002C2BDB" w:rsidRDefault="00163862" w:rsidP="00163862">
      <w:pPr>
        <w:pStyle w:val="wordsection1"/>
        <w:jc w:val="both"/>
        <w:rPr>
          <w:sz w:val="22"/>
          <w:szCs w:val="22"/>
        </w:rPr>
      </w:pPr>
      <w:r w:rsidRPr="002C2BDB">
        <w:rPr>
          <w:sz w:val="22"/>
          <w:szCs w:val="22"/>
        </w:rPr>
        <w:t>c. servizi sociali per le dimissioni protette;</w:t>
      </w:r>
    </w:p>
    <w:p w14:paraId="0B1F8B85" w14:textId="77777777" w:rsidR="00163862" w:rsidRPr="002C2BDB" w:rsidRDefault="00163862" w:rsidP="00163862">
      <w:pPr>
        <w:pStyle w:val="wordsection1"/>
        <w:jc w:val="both"/>
        <w:rPr>
          <w:sz w:val="22"/>
          <w:szCs w:val="22"/>
        </w:rPr>
      </w:pPr>
      <w:r w:rsidRPr="002C2BDB">
        <w:rPr>
          <w:sz w:val="22"/>
          <w:szCs w:val="22"/>
        </w:rPr>
        <w:t>d. prevenzione dell'allontanamento familiare;</w:t>
      </w:r>
    </w:p>
    <w:p w14:paraId="54382609" w14:textId="77777777" w:rsidR="00163862" w:rsidRPr="002C2BDB" w:rsidRDefault="00163862" w:rsidP="00163862">
      <w:pPr>
        <w:pStyle w:val="wordsection1"/>
        <w:jc w:val="both"/>
        <w:rPr>
          <w:sz w:val="22"/>
          <w:szCs w:val="22"/>
        </w:rPr>
      </w:pPr>
      <w:r w:rsidRPr="002C2BDB">
        <w:rPr>
          <w:sz w:val="22"/>
          <w:szCs w:val="22"/>
        </w:rPr>
        <w:t>e. servizi per la residenza fittizia;</w:t>
      </w:r>
    </w:p>
    <w:p w14:paraId="0918145E" w14:textId="77777777" w:rsidR="00163862" w:rsidRPr="002C2BDB" w:rsidRDefault="00163862" w:rsidP="00163862">
      <w:pPr>
        <w:pStyle w:val="wordsection1"/>
        <w:jc w:val="both"/>
        <w:rPr>
          <w:sz w:val="22"/>
          <w:szCs w:val="22"/>
        </w:rPr>
      </w:pPr>
      <w:r w:rsidRPr="002C2BDB">
        <w:rPr>
          <w:sz w:val="22"/>
          <w:szCs w:val="22"/>
        </w:rPr>
        <w:t>f. progetti per il dopo di noi e per la vita indipendente.</w:t>
      </w:r>
    </w:p>
    <w:p w14:paraId="7BD21F9B" w14:textId="77777777" w:rsidR="00163862" w:rsidRPr="002C2BDB" w:rsidRDefault="00163862" w:rsidP="00163862">
      <w:pPr>
        <w:pStyle w:val="wordsection1"/>
        <w:jc w:val="both"/>
        <w:rPr>
          <w:sz w:val="22"/>
          <w:szCs w:val="22"/>
        </w:rPr>
      </w:pPr>
      <w:r w:rsidRPr="002C2BDB">
        <w:rPr>
          <w:sz w:val="22"/>
          <w:szCs w:val="22"/>
        </w:rPr>
        <w:t>13. Al finanziamento dei LEPS di cui ai commi 11 e 12 del presente articolo concorrono le risorse nazionali già destinate per le medesime finalità dal Piano di cui al comma 12 insieme alle risorse dei fondi comunitari e del PNRR destinate a tali scopi.</w:t>
      </w:r>
    </w:p>
    <w:p w14:paraId="471365C2" w14:textId="77777777" w:rsidR="003777A4" w:rsidRPr="00EC14DE" w:rsidRDefault="009771EE" w:rsidP="008F1ECC">
      <w:pPr>
        <w:pStyle w:val="Titolo3"/>
      </w:pPr>
      <w:r w:rsidRPr="00EC14DE">
        <w:t>A</w:t>
      </w:r>
      <w:r w:rsidR="003777A4" w:rsidRPr="00EC14DE">
        <w:t xml:space="preserve">RT. </w:t>
      </w:r>
      <w:r w:rsidR="003777A4" w:rsidRPr="00EC14DE">
        <w:fldChar w:fldCharType="begin"/>
      </w:r>
      <w:r w:rsidR="003777A4" w:rsidRPr="00EC14DE">
        <w:instrText xml:space="preserve"> AUTONUM  \* Arabic </w:instrText>
      </w:r>
      <w:r w:rsidR="003777A4" w:rsidRPr="00EC14DE">
        <w:fldChar w:fldCharType="end"/>
      </w:r>
      <w:r w:rsidR="00337B97" w:rsidRPr="00EC14DE">
        <w:br/>
      </w:r>
      <w:r w:rsidR="003777A4" w:rsidRPr="00EC14DE">
        <w:t>(Livello essenziale della prestazione riferito ai servizi educativi per l’infanzia)</w:t>
      </w:r>
      <w:r w:rsidR="009E3DEC" w:rsidRPr="00EC14DE">
        <w:t xml:space="preserve"> </w:t>
      </w:r>
    </w:p>
    <w:p w14:paraId="4E33A568" w14:textId="77777777" w:rsidR="00FE10C2" w:rsidRPr="00DC7D50" w:rsidRDefault="00EF5B54" w:rsidP="00EF5B54">
      <w:pPr>
        <w:pStyle w:val="wordsection1"/>
        <w:jc w:val="both"/>
        <w:rPr>
          <w:bCs/>
          <w:sz w:val="22"/>
          <w:szCs w:val="22"/>
        </w:rPr>
      </w:pPr>
      <w:r w:rsidRPr="00EC14DE">
        <w:rPr>
          <w:bCs/>
          <w:sz w:val="22"/>
          <w:szCs w:val="22"/>
        </w:rPr>
        <w:t xml:space="preserve">1. </w:t>
      </w:r>
      <w:r w:rsidR="00FE10C2" w:rsidRPr="00EC14DE">
        <w:rPr>
          <w:bCs/>
          <w:sz w:val="22"/>
          <w:szCs w:val="22"/>
        </w:rPr>
        <w:t>Al fine di rimuovere gli squilibri territoriali nell’erogazione del servizio di asilo nido in attuazione dell’art. 117 comma 2 lett</w:t>
      </w:r>
      <w:r w:rsidR="00EE6C6D">
        <w:rPr>
          <w:bCs/>
          <w:sz w:val="22"/>
          <w:szCs w:val="22"/>
        </w:rPr>
        <w:t>era</w:t>
      </w:r>
      <w:r w:rsidR="00FE10C2" w:rsidRPr="00EC14DE">
        <w:rPr>
          <w:bCs/>
          <w:sz w:val="22"/>
          <w:szCs w:val="22"/>
        </w:rPr>
        <w:t xml:space="preserve"> m) della Costituzione</w:t>
      </w:r>
      <w:r w:rsidR="00DC7D50">
        <w:rPr>
          <w:bCs/>
          <w:sz w:val="22"/>
          <w:szCs w:val="22"/>
        </w:rPr>
        <w:t>, l’articolo 1, comma 449, lettera</w:t>
      </w:r>
      <w:r w:rsidR="00FE10C2" w:rsidRPr="00EC14DE">
        <w:rPr>
          <w:bCs/>
          <w:sz w:val="22"/>
          <w:szCs w:val="22"/>
        </w:rPr>
        <w:t xml:space="preserve"> d) sexies, della legge 11 dicembre 2016, n. 232, è sostituito dal seguente: </w:t>
      </w:r>
    </w:p>
    <w:p w14:paraId="2E5D7022" w14:textId="77777777" w:rsidR="00FE10C2" w:rsidRPr="00EC14DE" w:rsidRDefault="00FE10C2" w:rsidP="00FE10C2">
      <w:pPr>
        <w:pStyle w:val="wordsection1"/>
        <w:ind w:left="360"/>
        <w:jc w:val="both"/>
        <w:rPr>
          <w:bCs/>
        </w:rPr>
      </w:pPr>
      <w:r w:rsidRPr="00EC14DE">
        <w:rPr>
          <w:bCs/>
          <w:sz w:val="22"/>
          <w:szCs w:val="22"/>
        </w:rPr>
        <w:t>“d-sexies) destinato ai comuni delle regioni a statuto ordinario e delle regioni Sicilia e Sardegna quanto a 120  milioni  di  euro  per l'anno 2022, a 175 milioni di euro per l'anno 2023, a 230 milioni  di euro per l'anno 2024, a 300 milioni di euro per l'anno 2025, a  450 milioni di euro per l’anno 2026 e a 1.100 milioni di euro annui a decorrere  dall'anno  2027, quale quota di risorse finalizzata a incrementare in percentuale, nel limite delle risorse disponibili per ciascun anno, il numero dei posti nei servizi educativi per l’infanzia di cui all’articolo 2, comma 3, lett</w:t>
      </w:r>
      <w:r w:rsidR="00EE6C6D">
        <w:rPr>
          <w:bCs/>
          <w:sz w:val="22"/>
          <w:szCs w:val="22"/>
        </w:rPr>
        <w:t>era</w:t>
      </w:r>
      <w:r w:rsidRPr="00EC14DE">
        <w:rPr>
          <w:bCs/>
          <w:sz w:val="22"/>
          <w:szCs w:val="22"/>
        </w:rPr>
        <w:t xml:space="preserve"> a) del decreto legislativo 13 aprile 2017, n. 65, sino al raggiungimento di un livello minimo che ciascun comune o bacino territoriale è tenuto a garantire. Il livello minimo da garantire di cui al periodo precedente è definito quale numero dei posti dei predetti servizi educativi per l’infanzia, equivalenti in termini di costo standard al servizio a tempo pieno dei nidi, in proporzione alla popolazione ricompresa nella fascia di età da 3 a 36 mesi, ed è fissato su base locale nel 33%, inclusivo del servizio privato.  In considerazione delle risorse di cui al periodo precedente i comuni, in forma singola o associata, garantiscono, secondo una progressione differenziata per fascia demografica tenendo anche conto, ove istituibile, del bacino territoriale di appartenenza, il raggiungimento del livello essenziale della prestazione attraverso obiettivi di servizio annuali. Dall'anno 2022 l'obiettivo di servizio, per fascia demografica del comune o del bacino territoriale di appartenenza, è fissato con il decreto di cui al sesto periodo, dando priorità ai bacini territoriali più svantaggiati, e tenendo conto di una soglia massima del 28,88%, valida sino a quando anche tutti i comuni svantaggiati non avranno raggiunto un pari livello di prestazioni. L'obiettivo di servizio è progressivamente incrementato annualmente sino al raggiungimento, nell'anno 2027, del livello minimo garantito del 33% su base locale, anche attraverso il servizio privato. Il contributo  di cui al primo periodo è ripartito entro il 28 febbraio 2022 per l’anno 2022 ed entro il 30 novembre dell'anno precedente a quello di riferimento per gli anni successivi con decreto del Ministro dell'interno, di concerto con il Ministro dell'economia e delle finanze, il Ministro dell'istruzione, il Ministro per il sud e la coesione territoriale e il Ministro per le pari opportunità e la famiglia previa intesa in Conferenza Stato-città ed autonomie locali, su proposta della Commissione tecnica per i fabbisogni standard, tenendo conto, ove disponibili, dei costi standard per la funzione "Asili nido" approvati dalla stessa Commissione. Con il decreto di cui al precedente periodo sono altresì disciplinati gli obiettivi di potenziamento dei posti di asili nido da conseguire, per ciascuna fascia demografica del bacino territoriale di appartenenza, con le risorse assegnate, e le modalità di monitoraggio sull'utilizzo delle risorse stesse. I Comuni possono procedere all’assunzione del personale necessario alla diretta gestione dei servizi educativi per l’infanzia utilizzando le risorse di cui al presente comma</w:t>
      </w:r>
      <w:r w:rsidR="00314C66" w:rsidRPr="00EC14DE">
        <w:rPr>
          <w:bCs/>
          <w:sz w:val="22"/>
          <w:szCs w:val="22"/>
        </w:rPr>
        <w:t xml:space="preserve"> e nei limiti delle stesse.</w:t>
      </w:r>
      <w:r w:rsidRPr="00EC14DE">
        <w:rPr>
          <w:bCs/>
          <w:sz w:val="22"/>
          <w:szCs w:val="22"/>
        </w:rPr>
        <w:t xml:space="preserve"> Si applica l’articolo 57, comma 3-septies, del decreto legge 14 agosto 2020, n. 104, convertito, con modificazioni, dalla legge 13 ottobre 2020, n. 126.”.</w:t>
      </w:r>
    </w:p>
    <w:p w14:paraId="51A38AAA" w14:textId="77777777" w:rsidR="00FE10C2" w:rsidRPr="00EC14DE" w:rsidRDefault="00EF5B54" w:rsidP="00EF5B54">
      <w:pPr>
        <w:pStyle w:val="wordsection1"/>
        <w:jc w:val="both"/>
        <w:rPr>
          <w:bCs/>
          <w:sz w:val="22"/>
          <w:szCs w:val="22"/>
        </w:rPr>
      </w:pPr>
      <w:r w:rsidRPr="00EC14DE">
        <w:rPr>
          <w:bCs/>
          <w:sz w:val="22"/>
          <w:szCs w:val="22"/>
        </w:rPr>
        <w:t xml:space="preserve">2. </w:t>
      </w:r>
      <w:r w:rsidR="00FE10C2" w:rsidRPr="00EC14DE">
        <w:rPr>
          <w:bCs/>
          <w:sz w:val="22"/>
          <w:szCs w:val="22"/>
        </w:rPr>
        <w:t>All’art. 243, comma 2, lett</w:t>
      </w:r>
      <w:r w:rsidR="00EE6C6D">
        <w:rPr>
          <w:bCs/>
          <w:sz w:val="22"/>
          <w:szCs w:val="22"/>
        </w:rPr>
        <w:t>era</w:t>
      </w:r>
      <w:r w:rsidR="00FE10C2" w:rsidRPr="00EC14DE">
        <w:rPr>
          <w:bCs/>
          <w:sz w:val="22"/>
          <w:szCs w:val="22"/>
        </w:rPr>
        <w:t xml:space="preserve"> a) del decreto legislativo 18 agosto 2000, n. 267, le parole “a tale fine i costi di gestione degli asili nido sono calcolati al 50 per cento del loro ammontare” sono sostituite con le parole “a tale fine sono esclusi i costi di gestione degli asili nido”.</w:t>
      </w:r>
    </w:p>
    <w:p w14:paraId="0A0B6C16" w14:textId="77777777" w:rsidR="00E9275B" w:rsidRPr="00EC14DE" w:rsidRDefault="00E9275B"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(Livelli essenziali delle prestazioni in materia di trasporto scolastico di studenti disabili)</w:t>
      </w:r>
      <w:r w:rsidR="009E3DEC" w:rsidRPr="00EC14DE">
        <w:t xml:space="preserve"> </w:t>
      </w:r>
    </w:p>
    <w:p w14:paraId="733E30AD" w14:textId="77777777" w:rsidR="004E5B46" w:rsidRPr="00EC14DE" w:rsidRDefault="004E5B46" w:rsidP="007C594F">
      <w:pPr>
        <w:pStyle w:val="Default"/>
        <w:widowControl w:val="0"/>
        <w:jc w:val="both"/>
        <w:rPr>
          <w:color w:val="auto"/>
          <w:sz w:val="22"/>
          <w:szCs w:val="22"/>
        </w:rPr>
      </w:pPr>
      <w:r w:rsidRPr="00EC14DE">
        <w:rPr>
          <w:color w:val="auto"/>
          <w:sz w:val="22"/>
          <w:szCs w:val="22"/>
        </w:rPr>
        <w:t xml:space="preserve">1. Al </w:t>
      </w:r>
      <w:hyperlink r:id="rId9" w:history="1">
        <w:r w:rsidRPr="00EC14DE">
          <w:rPr>
            <w:rStyle w:val="Collegamentoipertestuale"/>
            <w:color w:val="auto"/>
            <w:sz w:val="22"/>
            <w:szCs w:val="22"/>
            <w:u w:val="none"/>
          </w:rPr>
          <w:t>comma 449 dell'articolo 1 della legge 11 dicembre 2016, n. 232</w:t>
        </w:r>
      </w:hyperlink>
      <w:r w:rsidRPr="00EC14DE">
        <w:rPr>
          <w:color w:val="auto"/>
          <w:sz w:val="22"/>
          <w:szCs w:val="22"/>
        </w:rPr>
        <w:t>, dopo la lettera d-septies) è aggiunta la seguente: “d-octies) destinato ai comuni delle regioni a statuto ordinario e delle regioni Sicilia e Sardegna, quanto a 30 milioni di euro per l’anno 2022, a 50 milioni di euro per l’anno 2023, a 80 milioni di euro per l’anno 2024, a 100 milioni di euro per ciascuno degli anni 2025 e 2026 e a 120 milioni di euro annui a decorrere dall’anno 2027, quale quota di risorse finalizzata a incrementare, nel limite delle risorse disponibili per ciascun anno e dei livelli essenziali di prestazione (LEP), il numero di studenti disabili, frequentanti la scuola dell'infanzia, primaria e secondaria di 1° grado, privi di autonomia a cui viene fornito il trasporto per raggiungere la sede scolastica. Il contributo di cui al primo periodo è ripartito, entro il 28 febbraio 2022 per l’anno 2022 ed entro il 30 novembre dell'anno precedente a quello di riferimento per gli anni successivi, con decreto del Ministro dell'interno, di concerto con il Ministro dell'economia e delle finanze, il Ministro dell'istruzione, il Ministro per il sud e la coesione territoriale e il Ministro per le pari opportunità e la famiglia previa intesa in Conferenza Stato-città ed autonomie locali, su proposta della Commissione tecnica per i fabbisogni standard, tenendo conto, ove disponibili, dei costi standard relativi alla componente trasporto disabili della funzione “Istruzione pubblica” approvati dalla stessa Commissione. Fino alla definizione dei LEP, con il decreto di cui al precedente periodo sono altresì disciplinati gli obiettivi di incremento della percentuale di studenti disabili trasportati, da conseguire con le risorse assegnate, e le modalità di monitoraggio sull'utilizzo delle risorse stesse. Le somme che, a seguito del monitoraggio di cui al periodo precedente, risultassero non destinate ad assicurare l’obiettivo stabilito di incremento degli studenti disabili trasportati gratuitamente sono recuperate a valere sul fondo di solidarietà comunale attribuito ai medesimi comuni o, in caso di insufficienza dello stesso, secondo le modalità di cui ai commi 128 e 129 dell'</w:t>
      </w:r>
      <w:hyperlink r:id="rId10" w:history="1">
        <w:r w:rsidRPr="00EC14DE">
          <w:rPr>
            <w:rStyle w:val="Collegamentoipertestuale"/>
            <w:color w:val="auto"/>
            <w:sz w:val="22"/>
            <w:szCs w:val="22"/>
            <w:u w:val="none"/>
          </w:rPr>
          <w:t>articolo 1 della legge 24 dicembre 2012, n. 228</w:t>
        </w:r>
      </w:hyperlink>
      <w:r w:rsidRPr="00EC14DE">
        <w:rPr>
          <w:color w:val="auto"/>
          <w:sz w:val="22"/>
          <w:szCs w:val="22"/>
        </w:rPr>
        <w:t>.”.</w:t>
      </w:r>
    </w:p>
    <w:p w14:paraId="33DE4EE4" w14:textId="77777777" w:rsidR="00FE2423" w:rsidRPr="00EC14DE" w:rsidRDefault="00FE2423" w:rsidP="00FE2423">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w:t>
      </w:r>
      <w:r w:rsidRPr="00EC14DE">
        <w:rPr>
          <w:szCs w:val="22"/>
        </w:rPr>
        <w:t>C</w:t>
      </w:r>
      <w:r w:rsidR="007B4CA3">
        <w:rPr>
          <w:rFonts w:cs="Times New Roman"/>
          <w:szCs w:val="22"/>
        </w:rPr>
        <w:t>redito d’imposta M</w:t>
      </w:r>
      <w:r w:rsidRPr="00EC14DE">
        <w:rPr>
          <w:rFonts w:cs="Times New Roman"/>
          <w:szCs w:val="22"/>
        </w:rPr>
        <w:t>ezzogiorno</w:t>
      </w:r>
      <w:r w:rsidRPr="00EC14DE">
        <w:rPr>
          <w:szCs w:val="22"/>
        </w:rPr>
        <w:t>)</w:t>
      </w:r>
    </w:p>
    <w:p w14:paraId="728545FC" w14:textId="77777777" w:rsidR="00FE2423" w:rsidRPr="00EC14DE" w:rsidRDefault="00FE2423" w:rsidP="00FE2423">
      <w:pPr>
        <w:rPr>
          <w:rFonts w:eastAsia="Times New Roman" w:cs="Times New Roman"/>
          <w:lang w:eastAsia="it-IT"/>
        </w:rPr>
      </w:pPr>
      <w:r w:rsidRPr="00EC14DE">
        <w:rPr>
          <w:rStyle w:val="provvnumcomma"/>
          <w:rFonts w:cs="Times New Roman"/>
        </w:rPr>
        <w:t>1. All'articolo 1 della legge 28 dicembre 2015, n. 208, comma 98, l</w:t>
      </w:r>
      <w:r w:rsidRPr="00EC14DE">
        <w:rPr>
          <w:rFonts w:cs="Times New Roman"/>
        </w:rPr>
        <w:t>e parole “Alle imprese che effettuano l'acquisizione dei beni strumentali nuovi indicati nel comma 99, destinati a strutture produttive ubicate nelle zone assistite delle regioni Campania, Puglia, Basilicata, Calabria, Sicilia e Sardegna, ammissibili alle deroghe previste dall'</w:t>
      </w:r>
      <w:hyperlink r:id="rId11" w:anchor="id=10LX0000653341ART299,__m=document" w:history="1">
        <w:r w:rsidRPr="00EC14DE">
          <w:rPr>
            <w:rFonts w:cs="Times New Roman"/>
            <w:iCs/>
          </w:rPr>
          <w:t>articolo 107</w:t>
        </w:r>
      </w:hyperlink>
      <w:r w:rsidRPr="00EC14DE">
        <w:rPr>
          <w:rFonts w:cs="Times New Roman"/>
        </w:rPr>
        <w:t xml:space="preserve">, paragrafo 3, lettera a), del Trattato sul funzionamento dell'Unione europea, e nelle zone assistite delle regioni Molise e Abruzzo, ammissibili alle deroghe previste dall'articolo 107, paragrafo 3, lettera c), del Trattato sul funzionamento dell'Unione europea, come individuate dalla Carta degli aiuti a finalità regionale 2014-2020 C(2014)6424 final del 16 settembre 2014, come modificata dalla decisione C(2016)5938 final del 23 settembre 2016, fino al 31 dicembre 2022 è attribuito un credito d'imposta nella misura massima consentita dalla citata Carta”, sono sostituite dalle seguenti “Alle imprese che effettuano l'acquisizione dei beni strumentali nuovi indicati nel comma 99, destinati a strutture produttive ubicate nelle zone assistite delle regioni Campania, Puglia, Basilicata, Calabria, Sicilia, Sardegna e Molise, ammissibili alle deroghe previste dall'articolo 107, paragrafo 3, lettera </w:t>
      </w:r>
      <w:r w:rsidRPr="00EC14DE">
        <w:rPr>
          <w:rFonts w:cs="Times New Roman"/>
          <w:iCs/>
        </w:rPr>
        <w:t>a)</w:t>
      </w:r>
      <w:r w:rsidRPr="00EC14DE">
        <w:rPr>
          <w:rFonts w:cs="Times New Roman"/>
        </w:rPr>
        <w:t xml:space="preserve">, del Trattato sul funzionamento dell'Unione europea, e nelle zone assistite della regione Abruzzo, ammissibili alle deroghe previste dall'articolo 107, paragrafo 3, lettera </w:t>
      </w:r>
      <w:r w:rsidRPr="00EC14DE">
        <w:rPr>
          <w:rFonts w:cs="Times New Roman"/>
          <w:iCs/>
        </w:rPr>
        <w:t>c)</w:t>
      </w:r>
      <w:r w:rsidRPr="00EC14DE">
        <w:rPr>
          <w:rFonts w:cs="Times New Roman"/>
        </w:rPr>
        <w:t xml:space="preserve">, del Trattato </w:t>
      </w:r>
      <w:r w:rsidRPr="00EC14DE">
        <w:rPr>
          <w:rFonts w:eastAsia="Times New Roman" w:cs="Times New Roman"/>
          <w:lang w:eastAsia="it-IT"/>
        </w:rPr>
        <w:t>sul funzionamento dell'Unione europea, come individuate dalla vigente Carta degli aiuti a finalità regionale 2022-2027, fino al 31 dicembre 2022, è attribuito un credito d'imposta nella misura massima consentita dalla Carta degli aiuti a finalità regionale 2014-2020 C(2014)6424 final del 16 settembre 2014, come modificata dalla decisione C(2016)5938 final del 23 settembre 2016”.</w:t>
      </w:r>
    </w:p>
    <w:p w14:paraId="7DDAC77C" w14:textId="77777777" w:rsidR="00E9275B" w:rsidRPr="00EC14DE" w:rsidRDefault="00E9275B"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(Interventi per l’offerta turistica in favore di persone con disabilità)</w:t>
      </w:r>
    </w:p>
    <w:p w14:paraId="4D23D276" w14:textId="77777777" w:rsidR="00E9275B" w:rsidRPr="00EC14DE" w:rsidRDefault="00E9275B" w:rsidP="007C594F">
      <w:pPr>
        <w:widowControl w:val="0"/>
      </w:pPr>
      <w:r w:rsidRPr="00EC14DE">
        <w:t xml:space="preserve">1. Al fine di sostenere lo sviluppo dell’offerta turistica rivolta alle persone con disabilità e favorire l’inclusione sociale e la diversificazione dell’offerta turistica, presso il Ministero del turismo è istituito un fondo con una dotazione pari a </w:t>
      </w:r>
      <w:r w:rsidR="003C2CAB" w:rsidRPr="00EC14DE">
        <w:t>6</w:t>
      </w:r>
      <w:r w:rsidRPr="00EC14DE">
        <w:t xml:space="preserve"> milioni di euro per ciascuno degli anni 2022, 2023 e 2024, destinato alla realizzazione di interventi per l’accessibilità turistica delle persone con disabilità.</w:t>
      </w:r>
    </w:p>
    <w:p w14:paraId="724DE0CA" w14:textId="77777777" w:rsidR="00E9275B" w:rsidRPr="00EC14DE" w:rsidRDefault="00E9275B" w:rsidP="007C594F">
      <w:pPr>
        <w:widowControl w:val="0"/>
      </w:pPr>
      <w:r w:rsidRPr="00EC14DE">
        <w:t>2. Con decreto del Ministro del turismo, di concerto con il Ministro per le disabilità, sono emanate le disposizioni di attuazione del presente articolo.</w:t>
      </w:r>
    </w:p>
    <w:p w14:paraId="30B5A31D" w14:textId="77777777" w:rsidR="00205B6E" w:rsidRPr="00EC14DE" w:rsidRDefault="00337B97" w:rsidP="00337B97">
      <w:pPr>
        <w:pStyle w:val="Titolo3"/>
      </w:pPr>
      <w:r w:rsidRPr="00EC14DE">
        <w:t xml:space="preserve">ART. </w:t>
      </w:r>
      <w:r w:rsidRPr="00EC14DE">
        <w:fldChar w:fldCharType="begin"/>
      </w:r>
      <w:r w:rsidRPr="00EC14DE">
        <w:instrText xml:space="preserve"> AUTONUM  \* Arabic </w:instrText>
      </w:r>
      <w:r w:rsidRPr="00EC14DE">
        <w:fldChar w:fldCharType="end"/>
      </w:r>
      <w:r w:rsidR="008F1ECC" w:rsidRPr="00EC14DE">
        <w:br/>
      </w:r>
      <w:r w:rsidR="00205B6E" w:rsidRPr="00EC14DE">
        <w:rPr>
          <w:iCs/>
        </w:rPr>
        <w:t>(Fondo per le politiche in favore delle persone con disabilità)</w:t>
      </w:r>
    </w:p>
    <w:p w14:paraId="433F6195" w14:textId="77777777" w:rsidR="00835005" w:rsidRPr="002C2BDB" w:rsidRDefault="00835005">
      <w:pPr>
        <w:rPr>
          <w:rFonts w:cs="Times New Roman"/>
        </w:rPr>
      </w:pPr>
      <w:r w:rsidRPr="002C2BDB">
        <w:rPr>
          <w:rFonts w:cs="Times New Roman"/>
        </w:rPr>
        <w:t>1. Il “Fondo per la disabilità e la non autosufficienza” di cui all’articolo 1, comma 330, della legge 27 dicembre 2019, n. 160, a decorrere dal 1° gennaio 2022, è denominato “Fondo per le politiche in favore delle persone con disabilità” ed è trasferito presso lo stato di previsione del Ministero dell’economia e delle finanze</w:t>
      </w:r>
      <w:r w:rsidR="004B38DF" w:rsidRPr="002C2BDB">
        <w:rPr>
          <w:rFonts w:cs="Times New Roman"/>
        </w:rPr>
        <w:t xml:space="preserve">, </w:t>
      </w:r>
      <w:r w:rsidRPr="002C2BDB">
        <w:rPr>
          <w:rFonts w:cs="Times New Roman"/>
        </w:rPr>
        <w:t>al fine di dare attuazione a interventi legislativi in materia di disabilità finalizzati al riordino e alla sistematizzazione delle politiche di sostegno alla disabilità di competenza dell’autorità politica delegata in materia di disabilità.</w:t>
      </w:r>
      <w:r w:rsidR="001B222E" w:rsidRPr="002C2BDB">
        <w:rPr>
          <w:rFonts w:cs="Times New Roman"/>
        </w:rPr>
        <w:t xml:space="preserve"> A tal fine, il predetto Fondo è incrementato di 50 milioni di euro annui dall’anno 2023 all’anno 2026.</w:t>
      </w:r>
    </w:p>
    <w:p w14:paraId="718F66FE" w14:textId="77777777" w:rsidR="00205B6E" w:rsidRPr="00EC14DE" w:rsidRDefault="00337B97" w:rsidP="00337B97">
      <w:pPr>
        <w:pStyle w:val="Titolo3"/>
        <w:rPr>
          <w:rFonts w:cs="Times New Roman"/>
        </w:rPr>
      </w:pPr>
      <w:r w:rsidRPr="00EC14DE">
        <w:t xml:space="preserve">ART. </w:t>
      </w:r>
      <w:r w:rsidRPr="00EC14DE">
        <w:fldChar w:fldCharType="begin"/>
      </w:r>
      <w:r w:rsidRPr="00EC14DE">
        <w:instrText xml:space="preserve"> AUTONUM  \* Arabic </w:instrText>
      </w:r>
      <w:r w:rsidRPr="00EC14DE">
        <w:fldChar w:fldCharType="end"/>
      </w:r>
      <w:r w:rsidRPr="00EC14DE">
        <w:br/>
      </w:r>
      <w:r w:rsidR="00205B6E" w:rsidRPr="00EC14DE">
        <w:t>(Fondo per l’assistenza all’autonomia e alla comunicazione per gli alunni con disabilità)</w:t>
      </w:r>
    </w:p>
    <w:p w14:paraId="256F249F" w14:textId="77777777" w:rsidR="00835005" w:rsidRPr="002C2BDB" w:rsidRDefault="00835005" w:rsidP="00835005">
      <w:pPr>
        <w:rPr>
          <w:rFonts w:cs="Times New Roman"/>
        </w:rPr>
      </w:pPr>
      <w:r w:rsidRPr="002C2BDB">
        <w:rPr>
          <w:rFonts w:cs="Times New Roman"/>
        </w:rPr>
        <w:t>1. Per il potenziamento dei servizi di assistenza all’autonomia e alla comunicazione per gli alunni con disabilità della scuola dell’infanzia, della scuola primaria e della scuola secondaria di primo e secondo grado, ai sensi dell’articolo 13, comma 3, della legge 5 febbraio 1992, n. 104è istituito nello stato di previsione del Ministero dell’economia e delle finanze, per il successivo trasferimento al bilancio autonomo della presidenza del Consiglio dei ministri, un Fondo denominato “Fondo per l’assistenza all’autonomia e alla comunicazione per gli alunni con disabilità”, con una dotazione di 100 milioni di euro a decorrere dal 2022.</w:t>
      </w:r>
    </w:p>
    <w:p w14:paraId="33DCB577" w14:textId="77777777" w:rsidR="008420A0" w:rsidRPr="002C2BDB" w:rsidRDefault="00835005" w:rsidP="008420A0">
      <w:pPr>
        <w:rPr>
          <w:rFonts w:cs="Times New Roman"/>
        </w:rPr>
      </w:pPr>
      <w:r w:rsidRPr="002C2BDB">
        <w:rPr>
          <w:rFonts w:cs="Times New Roman"/>
        </w:rPr>
        <w:t>2. Il fondo di cui al comma 1 è ripartito per la quota parte di 70 milioni in favore delle Regioni e degli enti territoriali con decreto del Ministro per le disabilità e del Ministro degli affari regionali e le autonomie, di concerto con i Ministri dell’istruzione, dell’economia e delle finanze e dell’interno, previa intesa in sede di Conferenza Unificata da adottarsi entro il 30 giugno di ciascun anno, e per la quota parte di 30 milioni in favore dei Comuni con decreto del Ministro dell'interno e del Ministro per le disabilità, di concerto con i Ministri dell’istruzione e dell'economia e delle finanze, previa intesa in Conferenza Stato-città ed autonomie locali da adottarsi entro il 30 giugno di ciascun anno, nei quali sono individuati i criteri di ripartizione.</w:t>
      </w:r>
    </w:p>
    <w:p w14:paraId="352A5792" w14:textId="77777777" w:rsidR="00205B6E" w:rsidRPr="00EC14DE" w:rsidRDefault="00337B97" w:rsidP="008420A0">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r>
      <w:r w:rsidR="00205B6E" w:rsidRPr="00EC14DE">
        <w:t>(Fondo per l’inclusione delle persone con disabilità)</w:t>
      </w:r>
    </w:p>
    <w:p w14:paraId="346E3E80" w14:textId="77777777" w:rsidR="00835005" w:rsidRPr="00EC14DE" w:rsidRDefault="00835005" w:rsidP="00835005">
      <w:pPr>
        <w:rPr>
          <w:rFonts w:cs="Times New Roman"/>
        </w:rPr>
      </w:pPr>
      <w:r w:rsidRPr="00EC14DE">
        <w:rPr>
          <w:rFonts w:cs="Times New Roman"/>
        </w:rPr>
        <w:t>1. All’articolo 34, del decreto-legge 22 marzo 2021, n. 41, convertito, con modificazioni, dalla legge 21 maggio 2021, n. 69, dopo le parole “con una dotazione di 100 milioni di euro per l'anno 2021”, sono aggiunte le seguenti “e di 50 milioni di euro per ciascuno degli anni 2022 e 2023,”.</w:t>
      </w:r>
    </w:p>
    <w:p w14:paraId="046092C4" w14:textId="77777777" w:rsidR="00835005" w:rsidRPr="00EC14DE" w:rsidRDefault="00835005" w:rsidP="00835005">
      <w:pPr>
        <w:rPr>
          <w:rFonts w:cs="Times New Roman"/>
        </w:rPr>
      </w:pPr>
      <w:r w:rsidRPr="00EC14DE">
        <w:rPr>
          <w:rFonts w:cs="Times New Roman"/>
        </w:rPr>
        <w:t>2. All’articolo 34, comma 2 bis, del decreto-legge 22 marzo 2021, n. 41, convertito con modificazioni, dalla legge 21 maggio 2021, n. 69 è aggiunta, dopo la lettera b), la seguente:</w:t>
      </w:r>
    </w:p>
    <w:p w14:paraId="07EB09A7" w14:textId="77777777" w:rsidR="00205B6E" w:rsidRPr="00EC14DE" w:rsidRDefault="00835005" w:rsidP="00835005">
      <w:pPr>
        <w:rPr>
          <w:rFonts w:cs="Times New Roman"/>
        </w:rPr>
      </w:pPr>
      <w:r w:rsidRPr="00EC14DE">
        <w:rPr>
          <w:rFonts w:cs="Times New Roman"/>
        </w:rPr>
        <w:t>c) iniziative dedicate alle persone con disturbo dello spettro autistico.</w:t>
      </w:r>
    </w:p>
    <w:p w14:paraId="5EDDF1BB" w14:textId="77777777" w:rsidR="000C5A8E" w:rsidRPr="00EC14DE" w:rsidRDefault="00216C3A"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00D05BF4" w:rsidRPr="00EC14DE">
        <w:br/>
        <w:t>(Agevolazioni per lo sviluppo dello sport)</w:t>
      </w:r>
    </w:p>
    <w:p w14:paraId="038F7744" w14:textId="77777777" w:rsidR="003C4E4B" w:rsidRPr="00EC14DE" w:rsidRDefault="003C4E4B" w:rsidP="007C594F">
      <w:pPr>
        <w:pStyle w:val="NormaleWeb"/>
        <w:widowControl w:val="0"/>
        <w:spacing w:before="0" w:beforeAutospacing="0" w:after="0" w:afterAutospacing="0"/>
        <w:jc w:val="both"/>
        <w:rPr>
          <w:sz w:val="22"/>
          <w:szCs w:val="22"/>
        </w:rPr>
      </w:pPr>
      <w:r w:rsidRPr="00EC14DE">
        <w:rPr>
          <w:iCs/>
          <w:sz w:val="22"/>
          <w:szCs w:val="22"/>
        </w:rPr>
        <w:t xml:space="preserve">1. Al fine di favorire il diritto allo svolgimento dell'attività sportiva, tenuto conto dei contenuti sociali, educativi e formativi dello sport, con particolare riferimento alla fase post-pandemica e in attesa che trovino piena applicazione i principi di riordino del settore contenuti nella legge delega 8 agosto 2019, n. 86, in via sperimentale per gli anni 2022, 2023 e 2024, per le Federazioni Sportive Nazionali riconosciute dal Comitato Olimpico Nazionale Italiano, gli </w:t>
      </w:r>
      <w:r w:rsidRPr="00EC14DE">
        <w:rPr>
          <w:bCs/>
          <w:iCs/>
          <w:sz w:val="22"/>
          <w:szCs w:val="22"/>
        </w:rPr>
        <w:t>utili</w:t>
      </w:r>
      <w:r w:rsidRPr="00EC14DE">
        <w:rPr>
          <w:iCs/>
          <w:sz w:val="22"/>
          <w:szCs w:val="22"/>
        </w:rPr>
        <w:t xml:space="preserve"> </w:t>
      </w:r>
      <w:r w:rsidRPr="00EC14DE">
        <w:rPr>
          <w:bCs/>
          <w:iCs/>
          <w:sz w:val="22"/>
          <w:szCs w:val="22"/>
        </w:rPr>
        <w:t>derivanti dall’esercizio di attività commerciale</w:t>
      </w:r>
      <w:r w:rsidRPr="00EC14DE">
        <w:rPr>
          <w:iCs/>
          <w:sz w:val="22"/>
          <w:szCs w:val="22"/>
        </w:rPr>
        <w:t xml:space="preserve"> non concorrono a formare il reddito imponibile ai fini IRES e il valore della produzione netta ai fini dell'imposta sull’attività regionale, a condizione che in ciascun anno le Federazioni Sportive destinino almeno il </w:t>
      </w:r>
      <w:r w:rsidR="00140898" w:rsidRPr="00EC14DE">
        <w:rPr>
          <w:iCs/>
          <w:sz w:val="22"/>
          <w:szCs w:val="22"/>
        </w:rPr>
        <w:t>20</w:t>
      </w:r>
      <w:r w:rsidR="000C7851" w:rsidRPr="00EC14DE">
        <w:rPr>
          <w:iCs/>
          <w:sz w:val="22"/>
          <w:szCs w:val="22"/>
        </w:rPr>
        <w:t xml:space="preserve"> per cento </w:t>
      </w:r>
      <w:r w:rsidRPr="00EC14DE">
        <w:rPr>
          <w:iCs/>
          <w:sz w:val="22"/>
          <w:szCs w:val="22"/>
        </w:rPr>
        <w:t>degli stessi allo sviluppo, diretto o per il tramite dei soggetti componenti le medesime Federazioni, delle infrastrutture sportive, dei settori giovanili e della pratica sportiva dei soggetti con disabilità”.</w:t>
      </w:r>
    </w:p>
    <w:p w14:paraId="31DF277F" w14:textId="77777777" w:rsidR="003C4E4B" w:rsidRPr="00EC14DE" w:rsidRDefault="003C4E4B" w:rsidP="007C594F">
      <w:pPr>
        <w:pStyle w:val="NormaleWeb"/>
        <w:widowControl w:val="0"/>
        <w:spacing w:before="0" w:beforeAutospacing="0" w:after="0" w:afterAutospacing="0"/>
        <w:jc w:val="both"/>
        <w:rPr>
          <w:iCs/>
          <w:sz w:val="22"/>
          <w:szCs w:val="22"/>
        </w:rPr>
      </w:pPr>
      <w:r w:rsidRPr="00EC14DE">
        <w:rPr>
          <w:iCs/>
          <w:sz w:val="22"/>
          <w:szCs w:val="22"/>
        </w:rPr>
        <w:t xml:space="preserve">2. </w:t>
      </w:r>
      <w:r w:rsidR="009A449C" w:rsidRPr="00EC14DE">
        <w:rPr>
          <w:iCs/>
          <w:sz w:val="22"/>
          <w:szCs w:val="22"/>
        </w:rPr>
        <w:t>I costi effettivamente sostenuti per lo sviluppo di cui al comma 1 sono rendicontati dalle Federazioni Sportive Nazionali e certificati dagli organi di controllo interno delle stesse o dalle società di revisione da queste incaricate per la certificazione dei bilanci, entro il terzo anno successivo a quello di riferimento.</w:t>
      </w:r>
    </w:p>
    <w:p w14:paraId="58FB0B07" w14:textId="77777777" w:rsidR="003C4E4B" w:rsidRPr="00EC14DE" w:rsidRDefault="003C4E4B" w:rsidP="007C594F">
      <w:pPr>
        <w:pStyle w:val="NormaleWeb"/>
        <w:widowControl w:val="0"/>
        <w:spacing w:before="0" w:beforeAutospacing="0" w:after="0" w:afterAutospacing="0"/>
        <w:jc w:val="both"/>
        <w:rPr>
          <w:iCs/>
          <w:sz w:val="22"/>
          <w:szCs w:val="22"/>
        </w:rPr>
      </w:pPr>
      <w:r w:rsidRPr="00EC14DE">
        <w:rPr>
          <w:iCs/>
          <w:sz w:val="22"/>
          <w:szCs w:val="22"/>
        </w:rPr>
        <w:t>3. L’efficacia della misura di cui al comma 1 è subordinata, ai sensi dell’articolo 108, paragrafo 3, del Trattato sul funzionamento dell’Unione europea, all’autorizzazione della Commissione europea.</w:t>
      </w:r>
    </w:p>
    <w:p w14:paraId="31E2E7DB" w14:textId="77777777" w:rsidR="00C3066D" w:rsidRPr="00EC14DE" w:rsidRDefault="00F42FBC" w:rsidP="007C594F">
      <w:pPr>
        <w:widowControl w:val="0"/>
      </w:pPr>
      <w:r w:rsidRPr="00EC14DE">
        <w:t>4. All’articolo 1, comma 34, della legge 30 dicembre 2020, n. 178 le parole “50 milioni di euro per l'anno 2021 e di 50 milioni di euro per l'anno 2022” sono sostituite dalle seguenti “50 milioni di euro anni per ciascuno degli anni 2021, 2022 e 2023”</w:t>
      </w:r>
      <w:r w:rsidR="00975774" w:rsidRPr="00EC14DE">
        <w:t>.</w:t>
      </w:r>
    </w:p>
    <w:p w14:paraId="68E58E01" w14:textId="77777777" w:rsidR="00B92142" w:rsidRPr="00EC14DE" w:rsidRDefault="00B92142" w:rsidP="00B92142">
      <w:pPr>
        <w:widowControl w:val="0"/>
        <w:rPr>
          <w:rFonts w:cs="Times New Roman"/>
          <w:lang w:eastAsia="it-IT"/>
        </w:rPr>
      </w:pPr>
      <w:r w:rsidRPr="00EC14DE">
        <w:rPr>
          <w:rFonts w:cs="Times New Roman"/>
          <w:lang w:eastAsia="it-IT"/>
        </w:rPr>
        <w:t xml:space="preserve">5. La disciplina del credito d'imposta per le erogazioni liberali per interventi di manutenzione e restauro di impianti sportivi pubblici e per la realizzazione di nuove strutture sportive pubbliche di cui all'articolo 1, commi da 621 a 627, della legge 30 dicembre 2018, n. 145, si applica, limitatamente  a favore dei soggetti titolari di reddito d’impresa, anche per l'anno 2022, nel limite complessivo di 13,2 milioni di euro e secondo le modalità di cui al comma 623 dell’articolo 1 della legge </w:t>
      </w:r>
      <w:r w:rsidR="00D73B48" w:rsidRPr="00EC14DE">
        <w:rPr>
          <w:rFonts w:cs="Times New Roman"/>
          <w:lang w:eastAsia="it-IT"/>
        </w:rPr>
        <w:t xml:space="preserve">30 dicembre </w:t>
      </w:r>
      <w:r w:rsidRPr="00EC14DE">
        <w:rPr>
          <w:rFonts w:cs="Times New Roman"/>
          <w:lang w:eastAsia="it-IT"/>
        </w:rPr>
        <w:t>2018</w:t>
      </w:r>
      <w:r w:rsidR="00D73B48" w:rsidRPr="00EC14DE">
        <w:rPr>
          <w:rFonts w:cs="Times New Roman"/>
          <w:lang w:eastAsia="it-IT"/>
        </w:rPr>
        <w:t>, n. 145</w:t>
      </w:r>
      <w:r w:rsidRPr="00EC14DE">
        <w:rPr>
          <w:rFonts w:cs="Times New Roman"/>
          <w:lang w:eastAsia="it-IT"/>
        </w:rPr>
        <w:t xml:space="preserve">. Ai fini attuativi, si applicano, in quanto compatibili, le disposizioni di cui al decreto del Presidente del Consiglio dei ministri 30 aprile 2019, pubblicato nella Gazzetta Ufficiale n. 124 del 29 maggio 2019. </w:t>
      </w:r>
    </w:p>
    <w:p w14:paraId="4985A736" w14:textId="77777777" w:rsidR="00A24D8D" w:rsidRPr="00EC14DE" w:rsidRDefault="00A24D8D" w:rsidP="00B92142">
      <w:pPr>
        <w:widowControl w:val="0"/>
        <w:rPr>
          <w:rFonts w:cs="Times New Roman"/>
          <w:lang w:eastAsia="it-IT"/>
        </w:rPr>
      </w:pPr>
    </w:p>
    <w:p w14:paraId="276C9D35" w14:textId="77777777" w:rsidR="008420A0" w:rsidRPr="00EC14DE" w:rsidRDefault="008420A0">
      <w:pPr>
        <w:spacing w:after="160" w:line="259" w:lineRule="auto"/>
        <w:jc w:val="left"/>
        <w:rPr>
          <w:rFonts w:eastAsiaTheme="majorEastAsia" w:cstheme="majorBidi"/>
          <w:b/>
          <w:sz w:val="24"/>
          <w:szCs w:val="32"/>
        </w:rPr>
      </w:pPr>
      <w:r w:rsidRPr="00EC14DE">
        <w:br w:type="page"/>
      </w:r>
    </w:p>
    <w:p w14:paraId="0CD7C4E3" w14:textId="77777777" w:rsidR="00343D88" w:rsidRPr="00EC14DE" w:rsidRDefault="00343D88" w:rsidP="00C951FD">
      <w:pPr>
        <w:pStyle w:val="Titolo1"/>
        <w:rPr>
          <w:noProof/>
        </w:rPr>
      </w:pPr>
      <w:r w:rsidRPr="00EC14DE">
        <w:t>Titolo</w:t>
      </w:r>
      <w:r w:rsidR="00B311CA" w:rsidRPr="00EC14DE">
        <w:rPr>
          <w:bCs/>
        </w:rPr>
        <w:t xml:space="preserve"> V</w:t>
      </w:r>
      <w:r w:rsidRPr="00EC14DE">
        <w:rPr>
          <w:bCs/>
        </w:rPr>
        <w:br/>
      </w:r>
      <w:r w:rsidRPr="00EC14DE">
        <w:rPr>
          <w:noProof/>
        </w:rPr>
        <w:t xml:space="preserve">Riordino della normativa in materia di ammortizzatori sociali </w:t>
      </w:r>
    </w:p>
    <w:p w14:paraId="4CA8E8A5" w14:textId="77777777" w:rsidR="008A457D" w:rsidRPr="00EC14DE" w:rsidRDefault="008A457D" w:rsidP="007C594F">
      <w:pPr>
        <w:pStyle w:val="Titolo2"/>
        <w:rPr>
          <w:noProof/>
        </w:rPr>
      </w:pPr>
      <w:bookmarkStart w:id="17" w:name="_Toc86301865"/>
      <w:r w:rsidRPr="00EC14DE">
        <w:t>Capo I</w:t>
      </w:r>
      <w:r w:rsidRPr="00EC14DE">
        <w:br/>
      </w:r>
      <w:r w:rsidRPr="00EC14DE">
        <w:rPr>
          <w:noProof/>
        </w:rPr>
        <w:t>Ammortizzatori sociali in costanza di rapporto di lavoro</w:t>
      </w:r>
      <w:bookmarkEnd w:id="17"/>
    </w:p>
    <w:p w14:paraId="06F1D3EB" w14:textId="77777777" w:rsidR="008A457D" w:rsidRPr="00EC14DE" w:rsidRDefault="008A457D" w:rsidP="007C594F">
      <w:pPr>
        <w:pStyle w:val="Titolo3"/>
        <w:keepNext w:val="0"/>
        <w:keepLines w:val="0"/>
        <w:widowControl w:val="0"/>
      </w:pPr>
      <w:bookmarkStart w:id="18" w:name="_Toc86301866"/>
      <w:r w:rsidRPr="00EC14DE">
        <w:t xml:space="preserve">ART. </w:t>
      </w:r>
      <w:r w:rsidRPr="00EC14DE">
        <w:rPr>
          <w:rStyle w:val="Titolo3Carattere"/>
          <w:b/>
          <w:i/>
        </w:rPr>
        <w:fldChar w:fldCharType="begin"/>
      </w:r>
      <w:r w:rsidRPr="00EC14DE">
        <w:rPr>
          <w:rStyle w:val="Titolo3Carattere"/>
          <w:b/>
          <w:i/>
        </w:rPr>
        <w:instrText xml:space="preserve"> AUTONUM  \* Arabic </w:instrText>
      </w:r>
      <w:r w:rsidRPr="00EC14DE">
        <w:rPr>
          <w:rStyle w:val="Titolo3Carattere"/>
          <w:b/>
          <w:i/>
        </w:rPr>
        <w:fldChar w:fldCharType="end"/>
      </w:r>
      <w:r w:rsidRPr="00EC14DE">
        <w:br/>
        <w:t>(Lavoratori beneficiari</w:t>
      </w:r>
      <w:r w:rsidR="00DB0783" w:rsidRPr="00EC14DE">
        <w:t xml:space="preserve"> dei trattamenti di integrazione salariale</w:t>
      </w:r>
      <w:r w:rsidRPr="00EC14DE">
        <w:t>)</w:t>
      </w:r>
      <w:bookmarkEnd w:id="18"/>
    </w:p>
    <w:p w14:paraId="065B86E9" w14:textId="77777777" w:rsidR="008A457D" w:rsidRPr="00EC14DE" w:rsidRDefault="008A457D" w:rsidP="007C594F">
      <w:pPr>
        <w:widowControl w:val="0"/>
        <w:rPr>
          <w:rFonts w:cs="Times New Roman"/>
        </w:rPr>
      </w:pPr>
      <w:r w:rsidRPr="00EC14DE">
        <w:rPr>
          <w:rFonts w:cs="Times New Roman"/>
        </w:rPr>
        <w:t>1. All’articolo 1 del decreto legislativo 14 settembre 2015, n. 148, sono apportate le seguenti modificazioni:</w:t>
      </w:r>
    </w:p>
    <w:p w14:paraId="00535664" w14:textId="77777777" w:rsidR="008A457D" w:rsidRPr="00EC14DE" w:rsidRDefault="006A1FD5" w:rsidP="001C111E">
      <w:pPr>
        <w:pStyle w:val="Paragrafoelenco"/>
        <w:widowControl w:val="0"/>
        <w:numPr>
          <w:ilvl w:val="0"/>
          <w:numId w:val="15"/>
        </w:numPr>
        <w:spacing w:line="240" w:lineRule="auto"/>
        <w:jc w:val="both"/>
        <w:rPr>
          <w:rFonts w:ascii="Times New Roman" w:hAnsi="Times New Roman" w:cs="Times New Roman"/>
        </w:rPr>
      </w:pPr>
      <w:r w:rsidRPr="00EC14DE">
        <w:rPr>
          <w:rFonts w:ascii="Times New Roman" w:hAnsi="Times New Roman" w:cs="Times New Roman"/>
        </w:rPr>
        <w:t>a</w:t>
      </w:r>
      <w:r w:rsidR="008A457D" w:rsidRPr="00EC14DE">
        <w:rPr>
          <w:rFonts w:ascii="Times New Roman" w:hAnsi="Times New Roman" w:cs="Times New Roman"/>
        </w:rPr>
        <w:t>l comma 1 è aggiunto, infine, il seguente periodo: «</w:t>
      </w:r>
      <w:bookmarkStart w:id="19" w:name="_Hlk75182433"/>
      <w:r w:rsidR="008A457D" w:rsidRPr="00EC14DE">
        <w:rPr>
          <w:rFonts w:ascii="Times New Roman" w:hAnsi="Times New Roman" w:cs="Times New Roman"/>
        </w:rPr>
        <w:t>Per periodi di sospensione o di riduzione dell’attività lavorativa decorrenti dal 1° gennaio 2022 sono destinatari dei trattamenti di integrazione salariale anche i lavoratori a domicilio.</w:t>
      </w:r>
      <w:bookmarkEnd w:id="19"/>
      <w:r w:rsidRPr="00EC14DE">
        <w:rPr>
          <w:rFonts w:ascii="Times New Roman" w:hAnsi="Times New Roman" w:cs="Times New Roman"/>
        </w:rPr>
        <w:t>»;</w:t>
      </w:r>
    </w:p>
    <w:p w14:paraId="1825E138" w14:textId="77777777" w:rsidR="008A457D" w:rsidRPr="00EC14DE" w:rsidRDefault="006A1FD5" w:rsidP="001C111E">
      <w:pPr>
        <w:pStyle w:val="Paragrafoelenco"/>
        <w:widowControl w:val="0"/>
        <w:numPr>
          <w:ilvl w:val="0"/>
          <w:numId w:val="15"/>
        </w:numPr>
        <w:spacing w:line="240" w:lineRule="auto"/>
        <w:jc w:val="both"/>
        <w:rPr>
          <w:rFonts w:ascii="Times New Roman" w:hAnsi="Times New Roman" w:cs="Times New Roman"/>
        </w:rPr>
      </w:pPr>
      <w:r w:rsidRPr="00EC14DE">
        <w:rPr>
          <w:rFonts w:ascii="Times New Roman" w:hAnsi="Times New Roman" w:cs="Times New Roman"/>
        </w:rPr>
        <w:t>a</w:t>
      </w:r>
      <w:r w:rsidR="008A457D" w:rsidRPr="00EC14DE">
        <w:rPr>
          <w:rFonts w:ascii="Times New Roman" w:hAnsi="Times New Roman" w:cs="Times New Roman"/>
        </w:rPr>
        <w:t>l comma 2, dopo il primo periodo è aggiunto il seguente: «Per il riconoscimento dei trattamenti di integrazione salariale richiesti a decorrere dal 1° gennaio 2022 l’anzianità minima di effettivo lavoro che i lavoratori devono possedere alla data di presentazione della domanda è pari a trenta giorni.».</w:t>
      </w:r>
    </w:p>
    <w:p w14:paraId="003DDF3D" w14:textId="77777777" w:rsidR="008A457D" w:rsidRPr="00EC14DE" w:rsidRDefault="008A457D" w:rsidP="007C594F">
      <w:pPr>
        <w:widowControl w:val="0"/>
        <w:rPr>
          <w:rFonts w:cs="Times New Roman"/>
        </w:rPr>
      </w:pPr>
      <w:r w:rsidRPr="00EC14DE">
        <w:rPr>
          <w:rFonts w:cs="Times New Roman"/>
        </w:rPr>
        <w:t>2. All’articolo 2 del decreto legislativo 14 settembre 2015, n. 148, sono apportate le seguenti modificazioni:</w:t>
      </w:r>
    </w:p>
    <w:p w14:paraId="60A9EA5A" w14:textId="77777777" w:rsidR="008A457D" w:rsidRPr="00EC14DE" w:rsidRDefault="006A1FD5" w:rsidP="001C111E">
      <w:pPr>
        <w:pStyle w:val="Paragrafoelenco"/>
        <w:widowControl w:val="0"/>
        <w:numPr>
          <w:ilvl w:val="0"/>
          <w:numId w:val="16"/>
        </w:numPr>
        <w:spacing w:line="240" w:lineRule="auto"/>
        <w:jc w:val="both"/>
        <w:rPr>
          <w:rFonts w:ascii="Times New Roman" w:hAnsi="Times New Roman" w:cs="Times New Roman"/>
        </w:rPr>
      </w:pPr>
      <w:r w:rsidRPr="00EC14DE">
        <w:rPr>
          <w:rFonts w:ascii="Times New Roman" w:hAnsi="Times New Roman" w:cs="Times New Roman"/>
        </w:rPr>
        <w:t>a</w:t>
      </w:r>
      <w:r w:rsidR="008A457D" w:rsidRPr="00EC14DE">
        <w:rPr>
          <w:rFonts w:ascii="Times New Roman" w:hAnsi="Times New Roman" w:cs="Times New Roman"/>
        </w:rPr>
        <w:t>l comma 1 è abrogata la parola: «professionalizzante», sono aggiunte le seguenti: «per periodi di sospensione o riduzione dell’attività lavorativa d</w:t>
      </w:r>
      <w:r w:rsidRPr="00EC14DE">
        <w:rPr>
          <w:rFonts w:ascii="Times New Roman" w:hAnsi="Times New Roman" w:cs="Times New Roman"/>
        </w:rPr>
        <w:t>ecorrenti dal 1° gennaio 2022.»;</w:t>
      </w:r>
    </w:p>
    <w:p w14:paraId="71905DC2" w14:textId="77777777" w:rsidR="008A457D" w:rsidRPr="00EC14DE" w:rsidRDefault="006A1FD5" w:rsidP="001C111E">
      <w:pPr>
        <w:pStyle w:val="Paragrafoelenco"/>
        <w:widowControl w:val="0"/>
        <w:numPr>
          <w:ilvl w:val="0"/>
          <w:numId w:val="16"/>
        </w:numPr>
        <w:spacing w:line="240" w:lineRule="auto"/>
        <w:jc w:val="both"/>
        <w:rPr>
          <w:rFonts w:ascii="Times New Roman" w:hAnsi="Times New Roman" w:cs="Times New Roman"/>
        </w:rPr>
      </w:pPr>
      <w:bookmarkStart w:id="20" w:name="_Hlk74932274"/>
      <w:r w:rsidRPr="00EC14DE">
        <w:rPr>
          <w:rFonts w:ascii="Times New Roman" w:hAnsi="Times New Roman" w:cs="Times New Roman"/>
        </w:rPr>
        <w:t>a</w:t>
      </w:r>
      <w:r w:rsidR="008A457D" w:rsidRPr="00EC14DE">
        <w:rPr>
          <w:rFonts w:ascii="Times New Roman" w:hAnsi="Times New Roman" w:cs="Times New Roman"/>
        </w:rPr>
        <w:t>l comma 2 è aggiunto, infine, il seguente periodo: «Il presente comma cessa di avere applicazione per i trattamenti di integrazione salariale relativi a periodi di sospensione o riduzione dell’attività lavorativa decorrenti dal 1° gennaio 2022.»</w:t>
      </w:r>
      <w:bookmarkEnd w:id="20"/>
      <w:r w:rsidRPr="00EC14DE">
        <w:rPr>
          <w:rFonts w:ascii="Times New Roman" w:hAnsi="Times New Roman" w:cs="Times New Roman"/>
        </w:rPr>
        <w:t>;</w:t>
      </w:r>
    </w:p>
    <w:p w14:paraId="4A69DED3" w14:textId="77777777" w:rsidR="00455169" w:rsidRPr="002C2BDB" w:rsidRDefault="006A1FD5" w:rsidP="00455169">
      <w:pPr>
        <w:pStyle w:val="Paragrafoelenco"/>
        <w:widowControl w:val="0"/>
        <w:numPr>
          <w:ilvl w:val="0"/>
          <w:numId w:val="16"/>
        </w:numPr>
        <w:spacing w:line="240" w:lineRule="auto"/>
        <w:jc w:val="both"/>
        <w:rPr>
          <w:rFonts w:ascii="Times New Roman" w:hAnsi="Times New Roman" w:cs="Times New Roman"/>
        </w:rPr>
      </w:pPr>
      <w:r w:rsidRPr="00EC14DE">
        <w:rPr>
          <w:rFonts w:ascii="Times New Roman" w:hAnsi="Times New Roman" w:cs="Times New Roman"/>
        </w:rPr>
        <w:t>a</w:t>
      </w:r>
      <w:r w:rsidR="008A457D" w:rsidRPr="00EC14DE">
        <w:rPr>
          <w:rFonts w:ascii="Times New Roman" w:hAnsi="Times New Roman" w:cs="Times New Roman"/>
        </w:rPr>
        <w:t>l comma 4 è aggiunto, infine, il seguente periodo: «In caso di apprendistato per la qualifica e il diploma professionale, il diploma di  istruzione secondaria superiore e il certificato di specializzazione tecnica superiore e di apprendistato di alta formazione  e ricerca, la sospensione o riduzione dell’orario di lavoro non deve pregiudicare, in ogni caso, il completamento del percorso formativo come eventualmente ridefinito ai sensi degli articoli 43, comma 3 e 45, comma 4 del decreto legislativo 15 giugno 2015, n. 81.».</w:t>
      </w:r>
    </w:p>
    <w:p w14:paraId="5A962E86" w14:textId="77777777" w:rsidR="008A457D" w:rsidRPr="00EC14DE" w:rsidRDefault="008A457D" w:rsidP="007C594F">
      <w:pPr>
        <w:pStyle w:val="Titolo3"/>
        <w:keepNext w:val="0"/>
        <w:keepLines w:val="0"/>
        <w:widowControl w:val="0"/>
      </w:pPr>
      <w:bookmarkStart w:id="21" w:name="_Toc86301867"/>
      <w:r w:rsidRPr="00EC14DE">
        <w:t xml:space="preserve">ART. </w:t>
      </w:r>
      <w:r w:rsidRPr="00EC14DE">
        <w:fldChar w:fldCharType="begin"/>
      </w:r>
      <w:r w:rsidRPr="00EC14DE">
        <w:instrText xml:space="preserve"> AUTONUM  \* Arabic </w:instrText>
      </w:r>
      <w:r w:rsidRPr="00EC14DE">
        <w:fldChar w:fldCharType="end"/>
      </w:r>
      <w:r w:rsidRPr="00EC14DE">
        <w:br/>
        <w:t>(</w:t>
      </w:r>
      <w:r w:rsidRPr="00EC14DE">
        <w:rPr>
          <w:rFonts w:cs="Times New Roman"/>
        </w:rPr>
        <w:t>Computo dei dipendenti</w:t>
      </w:r>
      <w:r w:rsidRPr="00EC14DE">
        <w:t>)</w:t>
      </w:r>
      <w:bookmarkEnd w:id="21"/>
    </w:p>
    <w:p w14:paraId="4E83BDC5" w14:textId="77777777" w:rsidR="008A457D" w:rsidRPr="00EC14DE" w:rsidRDefault="008A457D" w:rsidP="007C594F">
      <w:pPr>
        <w:widowControl w:val="0"/>
        <w:rPr>
          <w:rFonts w:cs="Times New Roman"/>
        </w:rPr>
      </w:pPr>
      <w:r w:rsidRPr="00EC14DE">
        <w:rPr>
          <w:rFonts w:cs="Times New Roman"/>
        </w:rPr>
        <w:t>1. Dopo l’articolo 2 del decreto legislativo 14 settembre 2015, n. 148, è aggiunto il seguente:</w:t>
      </w:r>
    </w:p>
    <w:p w14:paraId="2F140868" w14:textId="77777777" w:rsidR="008A457D" w:rsidRPr="00EC14DE" w:rsidRDefault="008A457D" w:rsidP="007C594F">
      <w:pPr>
        <w:widowControl w:val="0"/>
        <w:jc w:val="center"/>
        <w:rPr>
          <w:rFonts w:cs="Times New Roman"/>
        </w:rPr>
      </w:pPr>
      <w:r w:rsidRPr="00EC14DE">
        <w:rPr>
          <w:rFonts w:cs="Times New Roman"/>
        </w:rPr>
        <w:t>«Art. 2-bis</w:t>
      </w:r>
    </w:p>
    <w:p w14:paraId="2E934F74" w14:textId="77777777" w:rsidR="008A457D" w:rsidRPr="00EC14DE" w:rsidRDefault="008A457D" w:rsidP="007C594F">
      <w:pPr>
        <w:widowControl w:val="0"/>
        <w:jc w:val="center"/>
        <w:rPr>
          <w:rFonts w:cs="Times New Roman"/>
        </w:rPr>
      </w:pPr>
      <w:r w:rsidRPr="00EC14DE">
        <w:rPr>
          <w:rFonts w:cs="Times New Roman"/>
        </w:rPr>
        <w:t>(Computo dei dipendenti)</w:t>
      </w:r>
    </w:p>
    <w:p w14:paraId="645BEE87" w14:textId="77777777" w:rsidR="00455169" w:rsidRPr="00EC14DE" w:rsidRDefault="008A457D" w:rsidP="007C594F">
      <w:pPr>
        <w:widowControl w:val="0"/>
        <w:rPr>
          <w:rFonts w:cs="Times New Roman"/>
        </w:rPr>
      </w:pPr>
      <w:r w:rsidRPr="00EC14DE">
        <w:rPr>
          <w:rFonts w:cs="Times New Roman"/>
        </w:rPr>
        <w:t xml:space="preserve">1. Agli effetti di cui al presente decreto, ai fini della determinazione dei limiti dei dipendenti, sono da comprendersi nel calcolo tutti i lavoratori, inclusi i dirigenti, i lavoratori a domicilio e gli apprendisti, che prestano la propria opera con vincolo di subordinazione sia all'interno </w:t>
      </w:r>
      <w:r w:rsidR="002C2BDB">
        <w:rPr>
          <w:rFonts w:cs="Times New Roman"/>
        </w:rPr>
        <w:t>che all'esterno dell'azienda.».</w:t>
      </w:r>
    </w:p>
    <w:p w14:paraId="35DAA5A2" w14:textId="77777777" w:rsidR="008A457D" w:rsidRPr="00EC14DE" w:rsidRDefault="008A457D" w:rsidP="007C594F">
      <w:pPr>
        <w:pStyle w:val="Titolo3"/>
        <w:keepNext w:val="0"/>
        <w:keepLines w:val="0"/>
        <w:widowControl w:val="0"/>
      </w:pPr>
      <w:bookmarkStart w:id="22" w:name="_Toc86301868"/>
      <w:r w:rsidRPr="00EC14DE">
        <w:t xml:space="preserve">ART. </w:t>
      </w:r>
      <w:r w:rsidRPr="00EC14DE">
        <w:fldChar w:fldCharType="begin"/>
      </w:r>
      <w:r w:rsidRPr="00EC14DE">
        <w:instrText xml:space="preserve"> AUTONUM  \* Arabic </w:instrText>
      </w:r>
      <w:r w:rsidRPr="00EC14DE">
        <w:fldChar w:fldCharType="end"/>
      </w:r>
      <w:r w:rsidRPr="00EC14DE">
        <w:br/>
        <w:t>(</w:t>
      </w:r>
      <w:r w:rsidR="004673E8" w:rsidRPr="00EC14DE">
        <w:t>Aumento degli importi dei trattamenti di integrazione salariale</w:t>
      </w:r>
      <w:r w:rsidRPr="00EC14DE">
        <w:t>)</w:t>
      </w:r>
      <w:bookmarkEnd w:id="22"/>
    </w:p>
    <w:p w14:paraId="2011039B" w14:textId="77777777" w:rsidR="008A457D" w:rsidRPr="00EC14DE" w:rsidRDefault="008A457D" w:rsidP="007C594F">
      <w:pPr>
        <w:widowControl w:val="0"/>
        <w:rPr>
          <w:rFonts w:cs="Times New Roman"/>
        </w:rPr>
      </w:pPr>
      <w:r w:rsidRPr="00EC14DE">
        <w:rPr>
          <w:rFonts w:cs="Times New Roman"/>
        </w:rPr>
        <w:t>1. All’articolo 3 del decreto legislativo 14 settembre 2015, n. 148, sono apportate le seguenti modificazioni:</w:t>
      </w:r>
    </w:p>
    <w:p w14:paraId="47C41D49" w14:textId="77777777" w:rsidR="008A457D" w:rsidRPr="00EC14DE" w:rsidRDefault="006A1FD5" w:rsidP="001C111E">
      <w:pPr>
        <w:pStyle w:val="Paragrafoelenco"/>
        <w:widowControl w:val="0"/>
        <w:numPr>
          <w:ilvl w:val="0"/>
          <w:numId w:val="17"/>
        </w:numPr>
        <w:spacing w:line="240" w:lineRule="auto"/>
        <w:jc w:val="both"/>
        <w:rPr>
          <w:rFonts w:ascii="Times New Roman" w:hAnsi="Times New Roman" w:cs="Times New Roman"/>
        </w:rPr>
      </w:pPr>
      <w:r w:rsidRPr="00EC14DE">
        <w:rPr>
          <w:rFonts w:ascii="Times New Roman" w:hAnsi="Times New Roman" w:cs="Times New Roman"/>
        </w:rPr>
        <w:t>d</w:t>
      </w:r>
      <w:r w:rsidR="008A457D" w:rsidRPr="00EC14DE">
        <w:rPr>
          <w:rFonts w:ascii="Times New Roman" w:hAnsi="Times New Roman" w:cs="Times New Roman"/>
        </w:rPr>
        <w:t xml:space="preserve">opo il comma 5 è aggiunto il seguente: «5-bis. </w:t>
      </w:r>
      <w:bookmarkStart w:id="23" w:name="_Hlk75182494"/>
      <w:r w:rsidR="008A457D" w:rsidRPr="00EC14DE">
        <w:rPr>
          <w:rFonts w:ascii="Times New Roman" w:hAnsi="Times New Roman" w:cs="Times New Roman"/>
        </w:rPr>
        <w:t>Per i trattamenti di integrazione salariale relativi a periodi di sospensione o riduzione dell’attività lavorativa decorrenti dal 1° gennaio 2022, il massimale di cui alla lettera a) del comma 5 cessa di produrre i propri effetti e l’importo del trattamento di cui al comma 1, indipendentemente dalla retribuzione mensile di riferimento per il calcolo del trattamento, non può superare l’importo massimo mensile di cui al comma 5 lettera b) come rivalutato ai sensi del comma 6.</w:t>
      </w:r>
      <w:bookmarkEnd w:id="23"/>
      <w:r w:rsidRPr="00EC14DE">
        <w:rPr>
          <w:rFonts w:ascii="Times New Roman" w:hAnsi="Times New Roman" w:cs="Times New Roman"/>
        </w:rPr>
        <w:t>»;</w:t>
      </w:r>
    </w:p>
    <w:p w14:paraId="49A45A67" w14:textId="77777777" w:rsidR="00A30040" w:rsidRPr="002C2BDB" w:rsidRDefault="006A1FD5" w:rsidP="00A30040">
      <w:pPr>
        <w:pStyle w:val="Paragrafoelenco"/>
        <w:widowControl w:val="0"/>
        <w:numPr>
          <w:ilvl w:val="0"/>
          <w:numId w:val="17"/>
        </w:numPr>
        <w:spacing w:line="240" w:lineRule="auto"/>
        <w:jc w:val="both"/>
        <w:rPr>
          <w:rFonts w:ascii="Times New Roman" w:hAnsi="Times New Roman" w:cs="Times New Roman"/>
        </w:rPr>
      </w:pPr>
      <w:r w:rsidRPr="00EC14DE">
        <w:rPr>
          <w:rFonts w:ascii="Times New Roman" w:hAnsi="Times New Roman" w:cs="Times New Roman"/>
        </w:rPr>
        <w:t>a</w:t>
      </w:r>
      <w:r w:rsidR="008A457D" w:rsidRPr="00EC14DE">
        <w:rPr>
          <w:rFonts w:ascii="Times New Roman" w:hAnsi="Times New Roman" w:cs="Times New Roman"/>
        </w:rPr>
        <w:t xml:space="preserve">l comma 9, dopo le parole: «dalla legge 13 maggio 1988, n. 153, e successive modificazioni», sono aggiunte le seguenti: «, fermo restando quanto previsto </w:t>
      </w:r>
      <w:bookmarkStart w:id="24" w:name="_Hlk75182529"/>
      <w:r w:rsidR="008A457D" w:rsidRPr="00EC14DE">
        <w:rPr>
          <w:rFonts w:ascii="Times New Roman" w:hAnsi="Times New Roman" w:cs="Times New Roman"/>
        </w:rPr>
        <w:t>dal decreto-legge 8 giugno 2021, n. 79</w:t>
      </w:r>
      <w:bookmarkEnd w:id="24"/>
      <w:r w:rsidR="008A457D" w:rsidRPr="00EC14DE">
        <w:rPr>
          <w:rFonts w:ascii="Times New Roman" w:hAnsi="Times New Roman" w:cs="Times New Roman"/>
        </w:rPr>
        <w:t>».</w:t>
      </w:r>
    </w:p>
    <w:p w14:paraId="412CF5F0" w14:textId="77777777" w:rsidR="008A457D" w:rsidRPr="00EC14DE" w:rsidRDefault="008A457D" w:rsidP="007C594F">
      <w:pPr>
        <w:pStyle w:val="Titolo3"/>
        <w:keepNext w:val="0"/>
        <w:keepLines w:val="0"/>
        <w:widowControl w:val="0"/>
      </w:pPr>
      <w:bookmarkStart w:id="25" w:name="_Toc86301869"/>
      <w:r w:rsidRPr="00EC14DE">
        <w:t xml:space="preserve">ART. </w:t>
      </w:r>
      <w:r w:rsidRPr="00EC14DE">
        <w:fldChar w:fldCharType="begin"/>
      </w:r>
      <w:r w:rsidRPr="00EC14DE">
        <w:instrText xml:space="preserve"> AUTONUM  \* Arabic </w:instrText>
      </w:r>
      <w:r w:rsidRPr="00EC14DE">
        <w:fldChar w:fldCharType="end"/>
      </w:r>
      <w:r w:rsidRPr="00EC14DE">
        <w:br/>
        <w:t>(Contribuzione addizionale)</w:t>
      </w:r>
      <w:bookmarkEnd w:id="25"/>
    </w:p>
    <w:p w14:paraId="74E3CDD4" w14:textId="77777777" w:rsidR="008A457D" w:rsidRPr="00EC14DE" w:rsidRDefault="008A457D" w:rsidP="007C594F">
      <w:pPr>
        <w:widowControl w:val="0"/>
        <w:rPr>
          <w:rFonts w:cs="Times New Roman"/>
        </w:rPr>
      </w:pPr>
      <w:r w:rsidRPr="00EC14DE">
        <w:rPr>
          <w:rFonts w:cs="Times New Roman"/>
        </w:rPr>
        <w:t xml:space="preserve">1. All’articolo 5 del decreto legislativo 14 settembre 2015, n. 148, sono apportate le seguenti modificazioni: </w:t>
      </w:r>
    </w:p>
    <w:p w14:paraId="625C2F75" w14:textId="77777777" w:rsidR="008A457D" w:rsidRPr="00EC14DE" w:rsidRDefault="00D722EF" w:rsidP="007C594F">
      <w:pPr>
        <w:widowControl w:val="0"/>
        <w:rPr>
          <w:rFonts w:cs="Times New Roman"/>
        </w:rPr>
      </w:pPr>
      <w:r w:rsidRPr="00EC14DE">
        <w:rPr>
          <w:rFonts w:cs="Times New Roman"/>
        </w:rPr>
        <w:t>a) a</w:t>
      </w:r>
      <w:r w:rsidR="008A457D" w:rsidRPr="00EC14DE">
        <w:rPr>
          <w:rFonts w:cs="Times New Roman"/>
        </w:rPr>
        <w:t>l comma 1-bis è aggiunto, infine, il seguente periodo: «Il presente comma cessa di avere applicazione per i trattamenti di integrazione salariale relativi a periodi di sospensione o riduzione dell’attività lavorativa d</w:t>
      </w:r>
      <w:r w:rsidRPr="00EC14DE">
        <w:rPr>
          <w:rFonts w:cs="Times New Roman"/>
        </w:rPr>
        <w:t>ecorrenti dal 1° gennaio 2022.»;</w:t>
      </w:r>
    </w:p>
    <w:p w14:paraId="059575A6" w14:textId="77777777" w:rsidR="008A457D" w:rsidRPr="00EC14DE" w:rsidRDefault="00D722EF" w:rsidP="007C594F">
      <w:pPr>
        <w:widowControl w:val="0"/>
        <w:rPr>
          <w:rFonts w:cs="Times New Roman"/>
        </w:rPr>
      </w:pPr>
      <w:r w:rsidRPr="00EC14DE">
        <w:rPr>
          <w:rFonts w:cs="Times New Roman"/>
        </w:rPr>
        <w:t>b) d</w:t>
      </w:r>
      <w:r w:rsidR="008A457D" w:rsidRPr="00EC14DE">
        <w:rPr>
          <w:rFonts w:cs="Times New Roman"/>
        </w:rPr>
        <w:t>opo il comma 1-bis è aggiunto il seguente:</w:t>
      </w:r>
    </w:p>
    <w:p w14:paraId="51CF021F" w14:textId="77777777" w:rsidR="008A457D" w:rsidRPr="00EC14DE" w:rsidRDefault="008A457D" w:rsidP="007C594F">
      <w:pPr>
        <w:widowControl w:val="0"/>
        <w:rPr>
          <w:rFonts w:cs="Times New Roman"/>
        </w:rPr>
      </w:pPr>
      <w:r w:rsidRPr="00EC14DE">
        <w:rPr>
          <w:rFonts w:cs="Times New Roman"/>
        </w:rPr>
        <w:t>«1-ter. A decorrere dal 1° gennaio 2025 a favore dei datori di lavoro che non abbiano fruito di trattamenti di integrazione salariale per almeno ventiquattro mesi successivi all’ultimo periodo utilizzato</w:t>
      </w:r>
      <w:r w:rsidRPr="00EC14DE">
        <w:rPr>
          <w:rFonts w:cs="Times New Roman"/>
          <w:b/>
        </w:rPr>
        <w:t xml:space="preserve"> </w:t>
      </w:r>
      <w:r w:rsidRPr="00EC14DE">
        <w:rPr>
          <w:rFonts w:cs="Times New Roman"/>
        </w:rPr>
        <w:t>è stabilita una contribuzione addizionale ridotta, in misura pari a:</w:t>
      </w:r>
    </w:p>
    <w:p w14:paraId="0D914E89" w14:textId="77777777" w:rsidR="008A457D" w:rsidRPr="00EC14DE" w:rsidRDefault="008A457D" w:rsidP="007C594F">
      <w:pPr>
        <w:pStyle w:val="testo-leggedj-para-r1"/>
        <w:widowControl w:val="0"/>
        <w:spacing w:line="240" w:lineRule="auto"/>
        <w:rPr>
          <w:rFonts w:ascii="Times New Roman" w:hAnsi="Times New Roman" w:cs="Times New Roman"/>
          <w:sz w:val="22"/>
          <w:szCs w:val="22"/>
        </w:rPr>
      </w:pPr>
      <w:r w:rsidRPr="00EC14DE">
        <w:rPr>
          <w:rFonts w:ascii="Times New Roman" w:hAnsi="Times New Roman" w:cs="Times New Roman"/>
          <w:sz w:val="22"/>
          <w:szCs w:val="22"/>
        </w:rPr>
        <w:t>a) 6 per cento della retribuzione globale che sarebbe spettata al lavoratore per le ore di lavoro non prestate, relativamente ai periodi di integrazione salariale ordinaria o straordinaria fruiti all’interno di uno o più interventi concessi sino a un limite complessivo di 52 settimane in un quinquennio mobile;</w:t>
      </w:r>
    </w:p>
    <w:p w14:paraId="1A7E8722" w14:textId="77777777" w:rsidR="00A94632" w:rsidRPr="00EC14DE" w:rsidRDefault="008A457D" w:rsidP="007C594F">
      <w:pPr>
        <w:pStyle w:val="testo-leggedj-para-r1"/>
        <w:widowControl w:val="0"/>
        <w:spacing w:line="240" w:lineRule="auto"/>
        <w:rPr>
          <w:rFonts w:ascii="Times New Roman" w:hAnsi="Times New Roman" w:cs="Times New Roman"/>
          <w:sz w:val="22"/>
          <w:szCs w:val="22"/>
        </w:rPr>
      </w:pPr>
      <w:r w:rsidRPr="00EC14DE">
        <w:rPr>
          <w:rFonts w:ascii="Times New Roman" w:hAnsi="Times New Roman" w:cs="Times New Roman"/>
          <w:sz w:val="22"/>
          <w:szCs w:val="22"/>
        </w:rPr>
        <w:t>b) 9 per cento oltre il limite di cui alla lettera a) e sino a 104 settimane in un quinquennio mobile.».</w:t>
      </w:r>
    </w:p>
    <w:p w14:paraId="0312E106" w14:textId="77777777" w:rsidR="008A457D" w:rsidRPr="00EC14DE" w:rsidRDefault="008A457D" w:rsidP="007C594F">
      <w:pPr>
        <w:pStyle w:val="Titolo3"/>
        <w:keepNext w:val="0"/>
        <w:keepLines w:val="0"/>
        <w:widowControl w:val="0"/>
      </w:pPr>
      <w:bookmarkStart w:id="26" w:name="_Toc86301870"/>
      <w:r w:rsidRPr="00EC14DE">
        <w:t xml:space="preserve">ART. </w:t>
      </w:r>
      <w:r w:rsidRPr="00EC14DE">
        <w:fldChar w:fldCharType="begin"/>
      </w:r>
      <w:r w:rsidRPr="00EC14DE">
        <w:instrText xml:space="preserve"> AUTONUM  \* Arabic </w:instrText>
      </w:r>
      <w:r w:rsidRPr="00EC14DE">
        <w:fldChar w:fldCharType="end"/>
      </w:r>
      <w:r w:rsidRPr="00EC14DE">
        <w:br/>
        <w:t>(Modalità di erogazione e termine per il rimborso delle prestazioni)</w:t>
      </w:r>
      <w:bookmarkEnd w:id="26"/>
    </w:p>
    <w:p w14:paraId="064F431A" w14:textId="77777777" w:rsidR="008A457D" w:rsidRPr="00EC14DE" w:rsidRDefault="008A457D" w:rsidP="007C594F">
      <w:pPr>
        <w:widowControl w:val="0"/>
        <w:rPr>
          <w:rFonts w:cs="Times New Roman"/>
        </w:rPr>
      </w:pPr>
      <w:r w:rsidRPr="00EC14DE">
        <w:rPr>
          <w:rFonts w:cs="Times New Roman"/>
        </w:rPr>
        <w:t>1. All’articolo 7 del decreto legislativo 14 settembre 2015, n. 148, dopo il comma 5 è aggiunto il seguente:</w:t>
      </w:r>
    </w:p>
    <w:p w14:paraId="29CDFE76" w14:textId="77777777" w:rsidR="008A457D" w:rsidRPr="00EC14DE" w:rsidRDefault="008A457D" w:rsidP="007C594F">
      <w:pPr>
        <w:widowControl w:val="0"/>
        <w:rPr>
          <w:rFonts w:cs="Times New Roman"/>
        </w:rPr>
      </w:pPr>
      <w:r w:rsidRPr="00EC14DE">
        <w:rPr>
          <w:rFonts w:cs="Times New Roman"/>
        </w:rPr>
        <w:t>«5-bis. In caso di pagamento diretto delle prestazioni di cui al presente articolo, il datore di lavoro è tenuto a pena di decadenza ad inviare all'INPS tutti i dati necessari per il pagamento o per il saldo dell'integrazione salariale entro la fine del secondo mese successivo a quello in cui inizia il periodo di integrazione salariale, ovvero, se posteriore, entro il termine di sessanta giorni dall'adozione del provvedimento di autorizzazione. Trascorsi inutilmente tali termini, il pagamento della prestazione e gli oneri ad essa connessi rimangono a carico del datore di lavoro inadempiente.».</w:t>
      </w:r>
    </w:p>
    <w:p w14:paraId="5EA7C04F" w14:textId="77777777" w:rsidR="008A457D" w:rsidRPr="00EC14DE" w:rsidRDefault="008A457D" w:rsidP="007C594F">
      <w:pPr>
        <w:pStyle w:val="Titolo3"/>
        <w:keepNext w:val="0"/>
        <w:keepLines w:val="0"/>
        <w:widowControl w:val="0"/>
        <w:rPr>
          <w:rStyle w:val="lbl-numero-articolo"/>
          <w:b/>
          <w:bCs w:val="0"/>
        </w:rPr>
      </w:pPr>
      <w:bookmarkStart w:id="27" w:name="_Toc86301871"/>
      <w:bookmarkStart w:id="28" w:name="_Hlk84412060"/>
      <w:r w:rsidRPr="00EC14DE">
        <w:t xml:space="preserve">ART. </w:t>
      </w:r>
      <w:r w:rsidRPr="00EC14DE">
        <w:fldChar w:fldCharType="begin"/>
      </w:r>
      <w:r w:rsidRPr="00EC14DE">
        <w:instrText xml:space="preserve"> AUTONUM  \* Arabic </w:instrText>
      </w:r>
      <w:r w:rsidRPr="00EC14DE">
        <w:fldChar w:fldCharType="end"/>
      </w:r>
      <w:r w:rsidRPr="00EC14DE">
        <w:rPr>
          <w:rStyle w:val="lbl-numero-articolo"/>
          <w:b/>
          <w:bCs w:val="0"/>
        </w:rPr>
        <w:br/>
        <w:t>(Compatibilità con lo svolgimento di attività lavorativa)</w:t>
      </w:r>
      <w:bookmarkEnd w:id="27"/>
    </w:p>
    <w:p w14:paraId="64898448" w14:textId="77777777" w:rsidR="008A457D" w:rsidRPr="00EC14DE" w:rsidRDefault="008A457D" w:rsidP="007C594F">
      <w:pPr>
        <w:widowControl w:val="0"/>
        <w:rPr>
          <w:rFonts w:cs="Times New Roman"/>
        </w:rPr>
      </w:pPr>
      <w:r w:rsidRPr="00EC14DE">
        <w:rPr>
          <w:rStyle w:val="lbl-numero-articolo"/>
          <w:rFonts w:cs="Times New Roman"/>
          <w:b w:val="0"/>
          <w:bCs w:val="0"/>
        </w:rPr>
        <w:t xml:space="preserve">1. All’articolo 8 </w:t>
      </w:r>
      <w:r w:rsidRPr="00EC14DE">
        <w:rPr>
          <w:rStyle w:val="lbl-numero-articolo"/>
          <w:b w:val="0"/>
        </w:rPr>
        <w:t>del</w:t>
      </w:r>
      <w:r w:rsidRPr="00EC14DE">
        <w:rPr>
          <w:rFonts w:cs="Times New Roman"/>
        </w:rPr>
        <w:t xml:space="preserve"> decreto legislativo 14 settembre 2015, n. 148, sono apportate le seguenti modificazioni:</w:t>
      </w:r>
    </w:p>
    <w:p w14:paraId="0AA49DC5" w14:textId="77777777" w:rsidR="008A457D" w:rsidRPr="00EC14DE" w:rsidRDefault="00D722EF" w:rsidP="001C111E">
      <w:pPr>
        <w:pStyle w:val="Paragrafoelenco"/>
        <w:widowControl w:val="0"/>
        <w:numPr>
          <w:ilvl w:val="0"/>
          <w:numId w:val="21"/>
        </w:numPr>
        <w:spacing w:line="240" w:lineRule="auto"/>
        <w:jc w:val="both"/>
        <w:rPr>
          <w:rFonts w:ascii="Times New Roman" w:hAnsi="Times New Roman" w:cs="Times New Roman"/>
        </w:rPr>
      </w:pPr>
      <w:r w:rsidRPr="00EC14DE">
        <w:rPr>
          <w:rFonts w:ascii="Times New Roman" w:hAnsi="Times New Roman" w:cs="Times New Roman"/>
        </w:rPr>
        <w:t>l</w:t>
      </w:r>
      <w:r w:rsidR="008A457D" w:rsidRPr="00EC14DE">
        <w:rPr>
          <w:rFonts w:ascii="Times New Roman" w:hAnsi="Times New Roman" w:cs="Times New Roman"/>
        </w:rPr>
        <w:t>a rubrica è sostituita dalla seguente: «C</w:t>
      </w:r>
      <w:r w:rsidR="008A457D" w:rsidRPr="00EC14DE">
        <w:rPr>
          <w:rStyle w:val="lbl-numero-articolo"/>
          <w:rFonts w:ascii="Times New Roman" w:hAnsi="Times New Roman" w:cs="Times New Roman"/>
          <w:b w:val="0"/>
        </w:rPr>
        <w:t>ompatibilità con lo svolgimento di attività lavorativa</w:t>
      </w:r>
      <w:r w:rsidRPr="00EC14DE">
        <w:rPr>
          <w:rFonts w:ascii="Times New Roman" w:hAnsi="Times New Roman" w:cs="Times New Roman"/>
        </w:rPr>
        <w:t>»;</w:t>
      </w:r>
    </w:p>
    <w:p w14:paraId="68453959" w14:textId="77777777" w:rsidR="008A457D" w:rsidRPr="00EC14DE" w:rsidRDefault="00D722EF" w:rsidP="001C111E">
      <w:pPr>
        <w:pStyle w:val="Paragrafoelenco"/>
        <w:widowControl w:val="0"/>
        <w:numPr>
          <w:ilvl w:val="0"/>
          <w:numId w:val="21"/>
        </w:numPr>
        <w:spacing w:line="240" w:lineRule="auto"/>
        <w:jc w:val="both"/>
        <w:rPr>
          <w:rFonts w:ascii="Times New Roman" w:hAnsi="Times New Roman" w:cs="Times New Roman"/>
        </w:rPr>
      </w:pPr>
      <w:r w:rsidRPr="00EC14DE">
        <w:rPr>
          <w:rFonts w:ascii="Times New Roman" w:hAnsi="Times New Roman" w:cs="Times New Roman"/>
        </w:rPr>
        <w:t>i</w:t>
      </w:r>
      <w:r w:rsidR="008A457D" w:rsidRPr="00EC14DE">
        <w:rPr>
          <w:rFonts w:ascii="Times New Roman" w:hAnsi="Times New Roman" w:cs="Times New Roman"/>
        </w:rPr>
        <w:t>l comma 1 è abrogato.</w:t>
      </w:r>
    </w:p>
    <w:p w14:paraId="42B600AB" w14:textId="77777777" w:rsidR="008A457D" w:rsidRPr="00EC14DE" w:rsidRDefault="00D722EF" w:rsidP="001C111E">
      <w:pPr>
        <w:pStyle w:val="Paragrafoelenco"/>
        <w:widowControl w:val="0"/>
        <w:numPr>
          <w:ilvl w:val="0"/>
          <w:numId w:val="21"/>
        </w:numPr>
        <w:spacing w:line="240" w:lineRule="auto"/>
        <w:jc w:val="both"/>
        <w:rPr>
          <w:rFonts w:ascii="Times New Roman" w:hAnsi="Times New Roman" w:cs="Times New Roman"/>
        </w:rPr>
      </w:pPr>
      <w:r w:rsidRPr="00EC14DE">
        <w:rPr>
          <w:rFonts w:ascii="Times New Roman" w:hAnsi="Times New Roman" w:cs="Times New Roman"/>
        </w:rPr>
        <w:t>i</w:t>
      </w:r>
      <w:r w:rsidR="008A457D" w:rsidRPr="00EC14DE">
        <w:rPr>
          <w:rFonts w:ascii="Times New Roman" w:hAnsi="Times New Roman" w:cs="Times New Roman"/>
        </w:rPr>
        <w:t>l comma 2 è sostituito dal seguente: «Il lavoratore che svolga attività di lavoro subordinato di durata superiore a sei mesi nonché di lavoro autonomo durante il periodo di integrazione salariale non ha diritto al trattamento per le giornate di lavoro effettuate. Qualora il lavoratore svolga attività di lavoro subordinato a tempo determinato inferiore a sei mesi, il trattamento è sospeso per la durata del rapporto di lavoro».</w:t>
      </w:r>
    </w:p>
    <w:p w14:paraId="5B448B31" w14:textId="77777777" w:rsidR="008A457D" w:rsidRPr="00EC14DE" w:rsidRDefault="008A457D" w:rsidP="007C594F">
      <w:pPr>
        <w:pStyle w:val="Titolo3"/>
        <w:keepNext w:val="0"/>
        <w:keepLines w:val="0"/>
        <w:widowControl w:val="0"/>
      </w:pPr>
      <w:bookmarkStart w:id="29" w:name="_Toc86301872"/>
      <w:bookmarkEnd w:id="28"/>
      <w:r w:rsidRPr="00EC14DE">
        <w:t xml:space="preserve">ART. </w:t>
      </w:r>
      <w:r w:rsidRPr="00EC14DE">
        <w:fldChar w:fldCharType="begin"/>
      </w:r>
      <w:r w:rsidRPr="00EC14DE">
        <w:instrText xml:space="preserve"> AUTONUM  \* Arabic </w:instrText>
      </w:r>
      <w:r w:rsidRPr="00EC14DE">
        <w:fldChar w:fldCharType="end"/>
      </w:r>
      <w:r w:rsidRPr="00EC14DE">
        <w:br/>
        <w:t>(Esame congiunto in via telematica)</w:t>
      </w:r>
      <w:bookmarkEnd w:id="29"/>
    </w:p>
    <w:p w14:paraId="6F9CC64B" w14:textId="77777777" w:rsidR="008A457D" w:rsidRPr="00EC14DE" w:rsidRDefault="008A457D" w:rsidP="007C594F">
      <w:pPr>
        <w:widowControl w:val="0"/>
        <w:rPr>
          <w:rFonts w:cs="Times New Roman"/>
        </w:rPr>
      </w:pPr>
      <w:r w:rsidRPr="00EC14DE">
        <w:rPr>
          <w:rFonts w:cs="Times New Roman"/>
        </w:rPr>
        <w:t>1. All’articolo 14, comma 2, del decreto legislativo 14 settembre 2015, n. 148, dopo le parole: «esame congiunto», sono aggiunte le seguenti: «, anche in via telematica,».</w:t>
      </w:r>
    </w:p>
    <w:p w14:paraId="6C700FDF" w14:textId="77777777" w:rsidR="008A457D" w:rsidRPr="00EC14DE" w:rsidRDefault="008A457D" w:rsidP="007C594F">
      <w:pPr>
        <w:pStyle w:val="Titolo3"/>
        <w:keepNext w:val="0"/>
        <w:keepLines w:val="0"/>
        <w:widowControl w:val="0"/>
        <w:rPr>
          <w:rFonts w:cs="Times New Roman"/>
          <w:szCs w:val="22"/>
        </w:rPr>
      </w:pPr>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Fonts w:cs="Times New Roman"/>
          <w:szCs w:val="22"/>
        </w:rPr>
        <w:t>(Concessione</w:t>
      </w:r>
      <w:r w:rsidR="00C128C6" w:rsidRPr="00EC14DE">
        <w:rPr>
          <w:rFonts w:cs="Times New Roman"/>
          <w:szCs w:val="22"/>
        </w:rPr>
        <w:t xml:space="preserve"> delle integrazioni salariali</w:t>
      </w:r>
      <w:r w:rsidRPr="00EC14DE">
        <w:rPr>
          <w:rFonts w:cs="Times New Roman"/>
          <w:szCs w:val="22"/>
        </w:rPr>
        <w:t>)</w:t>
      </w:r>
    </w:p>
    <w:p w14:paraId="221DDC1E" w14:textId="77777777" w:rsidR="00531E84" w:rsidRPr="00EC14DE" w:rsidRDefault="008A457D" w:rsidP="007C594F">
      <w:pPr>
        <w:widowControl w:val="0"/>
        <w:rPr>
          <w:rFonts w:cs="Times New Roman"/>
        </w:rPr>
      </w:pPr>
      <w:r w:rsidRPr="00EC14DE">
        <w:rPr>
          <w:rFonts w:cs="Times New Roman"/>
        </w:rPr>
        <w:t>1. All’articolo 16, comma 1, del decreto legislativo 14 settembre 2015, n. 148, le parole: «dalla sede   dell'INPS   territorialmente competente», sono sostitui</w:t>
      </w:r>
      <w:r w:rsidR="002C2BDB">
        <w:rPr>
          <w:rFonts w:cs="Times New Roman"/>
        </w:rPr>
        <w:t>te dalle seguenti: «dall’INPS».</w:t>
      </w:r>
    </w:p>
    <w:p w14:paraId="6E923959" w14:textId="77777777" w:rsidR="008A457D" w:rsidRPr="00EC14DE" w:rsidRDefault="008A457D" w:rsidP="007C594F">
      <w:pPr>
        <w:pStyle w:val="Titolo3"/>
        <w:keepNext w:val="0"/>
        <w:keepLines w:val="0"/>
        <w:widowControl w:val="0"/>
      </w:pPr>
      <w:bookmarkStart w:id="30" w:name="_Toc86301873"/>
      <w:bookmarkStart w:id="31" w:name="_Hlk74646531"/>
      <w:r w:rsidRPr="00EC14DE">
        <w:t xml:space="preserve">ART. </w:t>
      </w:r>
      <w:r w:rsidRPr="00EC14DE">
        <w:fldChar w:fldCharType="begin"/>
      </w:r>
      <w:r w:rsidRPr="00EC14DE">
        <w:instrText xml:space="preserve"> AUTONUM  \* Arabic </w:instrText>
      </w:r>
      <w:r w:rsidRPr="00EC14DE">
        <w:fldChar w:fldCharType="end"/>
      </w:r>
      <w:r w:rsidRPr="00EC14DE">
        <w:br/>
        <w:t>(Campo di applicazione delle integrazioni salariali straordinarie)</w:t>
      </w:r>
      <w:bookmarkEnd w:id="30"/>
    </w:p>
    <w:bookmarkEnd w:id="31"/>
    <w:p w14:paraId="7AAEEBFC" w14:textId="77777777" w:rsidR="008A457D" w:rsidRPr="00EC14DE" w:rsidRDefault="008A457D" w:rsidP="007C594F">
      <w:pPr>
        <w:widowControl w:val="0"/>
        <w:rPr>
          <w:rFonts w:cs="Times New Roman"/>
        </w:rPr>
      </w:pPr>
      <w:r w:rsidRPr="00EC14DE">
        <w:rPr>
          <w:rFonts w:cs="Times New Roman"/>
        </w:rPr>
        <w:t>1. All’articolo 20 del decreto legislativo 14 settembre 2015, n. 148, sono apportate le seguenti modificazioni:</w:t>
      </w:r>
    </w:p>
    <w:p w14:paraId="23A02F0A" w14:textId="77777777" w:rsidR="008A457D" w:rsidRPr="00EC14DE" w:rsidRDefault="008A457D" w:rsidP="001C111E">
      <w:pPr>
        <w:pStyle w:val="Paragrafoelenco"/>
        <w:widowControl w:val="0"/>
        <w:numPr>
          <w:ilvl w:val="0"/>
          <w:numId w:val="18"/>
        </w:numPr>
        <w:spacing w:line="240" w:lineRule="auto"/>
        <w:jc w:val="both"/>
        <w:rPr>
          <w:rFonts w:ascii="Times New Roman" w:hAnsi="Times New Roman" w:cs="Times New Roman"/>
        </w:rPr>
      </w:pPr>
      <w:r w:rsidRPr="00EC14DE">
        <w:rPr>
          <w:rFonts w:ascii="Times New Roman" w:hAnsi="Times New Roman" w:cs="Times New Roman"/>
        </w:rPr>
        <w:t>Al comma 1, le parole «inclusi gli apprendisti e i dirigenti» sono abrogate;</w:t>
      </w:r>
    </w:p>
    <w:p w14:paraId="53395C49" w14:textId="77777777" w:rsidR="008A457D" w:rsidRPr="00EC14DE" w:rsidRDefault="008A457D" w:rsidP="001C111E">
      <w:pPr>
        <w:pStyle w:val="Paragrafoelenco"/>
        <w:widowControl w:val="0"/>
        <w:numPr>
          <w:ilvl w:val="0"/>
          <w:numId w:val="18"/>
        </w:numPr>
        <w:spacing w:line="240" w:lineRule="auto"/>
        <w:jc w:val="both"/>
        <w:rPr>
          <w:rFonts w:ascii="Times New Roman" w:hAnsi="Times New Roman" w:cs="Times New Roman"/>
        </w:rPr>
      </w:pPr>
      <w:r w:rsidRPr="00EC14DE">
        <w:rPr>
          <w:rFonts w:ascii="Times New Roman" w:hAnsi="Times New Roman" w:cs="Times New Roman"/>
        </w:rPr>
        <w:t>Al comma 2, le parole «inclusi gli apprendisti e i dirigenti» sono abrogate</w:t>
      </w:r>
    </w:p>
    <w:p w14:paraId="5A964B90" w14:textId="77777777" w:rsidR="008A457D" w:rsidRPr="00EC14DE" w:rsidRDefault="008A457D" w:rsidP="001C111E">
      <w:pPr>
        <w:pStyle w:val="Paragrafoelenco"/>
        <w:widowControl w:val="0"/>
        <w:numPr>
          <w:ilvl w:val="0"/>
          <w:numId w:val="18"/>
        </w:numPr>
        <w:spacing w:line="240" w:lineRule="auto"/>
        <w:jc w:val="both"/>
        <w:rPr>
          <w:rFonts w:ascii="Times New Roman" w:hAnsi="Times New Roman" w:cs="Times New Roman"/>
        </w:rPr>
      </w:pPr>
      <w:r w:rsidRPr="00EC14DE">
        <w:rPr>
          <w:rFonts w:ascii="Times New Roman" w:hAnsi="Times New Roman" w:cs="Times New Roman"/>
        </w:rPr>
        <w:t>Dopo il comma 3 sono aggiunti i seguenti:</w:t>
      </w:r>
    </w:p>
    <w:p w14:paraId="52DDB47E" w14:textId="77777777" w:rsidR="008A457D" w:rsidRPr="00EC14DE" w:rsidRDefault="008A457D" w:rsidP="007C594F">
      <w:pPr>
        <w:pStyle w:val="Paragrafoelenco"/>
        <w:widowControl w:val="0"/>
        <w:spacing w:line="240" w:lineRule="auto"/>
        <w:jc w:val="both"/>
        <w:rPr>
          <w:rFonts w:ascii="Times New Roman" w:hAnsi="Times New Roman" w:cs="Times New Roman"/>
        </w:rPr>
      </w:pPr>
      <w:r w:rsidRPr="00EC14DE">
        <w:rPr>
          <w:rFonts w:ascii="Times New Roman" w:hAnsi="Times New Roman" w:cs="Times New Roman"/>
        </w:rPr>
        <w:t>«3-bis. Per i trattamenti di integrazione salariale relativi a periodi di sospensione o riduzione dell’attività lavorativa decorrenti dal 1° gennaio 2022, la disciplina in materia di intervento straordinario di integrazione salariale e i relativi obblighi contributivi trovano applicazione in relazione ai datori di lavoro non coperti dai Fondi di cui agli articoli 26, 27 e 40 e che, nel semestre precedente la data di presentazione della domanda, abbiano occupato mediamente più di quindici dipendenti, per le causali di cui all’articolo 21, comma 1.</w:t>
      </w:r>
    </w:p>
    <w:p w14:paraId="1E62362B" w14:textId="77777777" w:rsidR="008A457D" w:rsidRPr="00EC14DE" w:rsidRDefault="008A457D" w:rsidP="007C594F">
      <w:pPr>
        <w:pStyle w:val="Paragrafoelenco"/>
        <w:widowControl w:val="0"/>
        <w:spacing w:line="240" w:lineRule="auto"/>
        <w:jc w:val="both"/>
        <w:rPr>
          <w:rFonts w:ascii="Times New Roman" w:hAnsi="Times New Roman" w:cs="Times New Roman"/>
        </w:rPr>
      </w:pPr>
      <w:r w:rsidRPr="00EC14DE">
        <w:rPr>
          <w:rFonts w:ascii="Times New Roman" w:hAnsi="Times New Roman" w:cs="Times New Roman"/>
        </w:rPr>
        <w:t>3-ter. La medesima disciplina e i medesimi obblighi contributivi trovano applicazione, a prescindere dal numero dei dipendenti, per le causali di cui all’articolo 21, comma 1, in relazione alle categorie seguenti:</w:t>
      </w:r>
    </w:p>
    <w:p w14:paraId="38C4D4C8" w14:textId="77777777" w:rsidR="008A457D" w:rsidRPr="00EC14DE" w:rsidRDefault="008A457D" w:rsidP="007C594F">
      <w:pPr>
        <w:pStyle w:val="Paragrafoelenco"/>
        <w:widowControl w:val="0"/>
        <w:spacing w:line="240" w:lineRule="auto"/>
        <w:jc w:val="both"/>
        <w:rPr>
          <w:rFonts w:ascii="Times New Roman" w:hAnsi="Times New Roman" w:cs="Times New Roman"/>
        </w:rPr>
      </w:pPr>
      <w:r w:rsidRPr="00EC14DE">
        <w:rPr>
          <w:rFonts w:ascii="Times New Roman" w:hAnsi="Times New Roman" w:cs="Times New Roman"/>
        </w:rPr>
        <w:t>a) imprese del trasporto aereo e di gestione aeroportuale e alle società da queste derivate, nonché alle imprese del sistema aeroportuale;</w:t>
      </w:r>
    </w:p>
    <w:p w14:paraId="7223C93B" w14:textId="77777777" w:rsidR="008A457D" w:rsidRPr="00EC14DE" w:rsidRDefault="008A457D" w:rsidP="007C594F">
      <w:pPr>
        <w:pStyle w:val="Paragrafoelenco"/>
        <w:widowControl w:val="0"/>
        <w:spacing w:line="240" w:lineRule="auto"/>
        <w:jc w:val="both"/>
        <w:rPr>
          <w:rFonts w:ascii="Times New Roman" w:hAnsi="Times New Roman" w:cs="Times New Roman"/>
        </w:rPr>
      </w:pPr>
      <w:r w:rsidRPr="00EC14DE">
        <w:rPr>
          <w:rFonts w:ascii="Times New Roman" w:hAnsi="Times New Roman" w:cs="Times New Roman"/>
        </w:rPr>
        <w:t>b) ai partiti e ai movimenti politici e alle loro rispettive articolazioni e sezioni territoriali, a condizione che risultino iscritti nel registro di cui all'articolo 4, comma 2, del decreto-legge 28 dicembre 2013, n. 149, convertito, con modificazioni, dalla legge 21 febbraio 2014, n. 13.</w:t>
      </w:r>
    </w:p>
    <w:p w14:paraId="61EBCEB3" w14:textId="77777777" w:rsidR="008A457D" w:rsidRPr="00EC14DE" w:rsidRDefault="008A457D" w:rsidP="007C594F">
      <w:pPr>
        <w:pStyle w:val="Paragrafoelenco"/>
        <w:widowControl w:val="0"/>
        <w:spacing w:line="240" w:lineRule="auto"/>
        <w:jc w:val="both"/>
        <w:rPr>
          <w:rFonts w:ascii="Times New Roman" w:hAnsi="Times New Roman" w:cs="Times New Roman"/>
        </w:rPr>
      </w:pPr>
      <w:r w:rsidRPr="00EC14DE">
        <w:rPr>
          <w:rFonts w:ascii="Times New Roman" w:hAnsi="Times New Roman" w:cs="Times New Roman"/>
        </w:rPr>
        <w:t>3-quater. Il campo di applicazione di cui ai commi 1, 2, 3 è vigente per i trattamenti di integrazione salariale fino al 31 dicembre 2021.».</w:t>
      </w:r>
    </w:p>
    <w:p w14:paraId="2E658305" w14:textId="77777777" w:rsidR="00531E84" w:rsidRPr="00EC14DE" w:rsidRDefault="008A457D" w:rsidP="00EC14DE">
      <w:pPr>
        <w:pStyle w:val="Paragrafoelenco"/>
        <w:widowControl w:val="0"/>
        <w:numPr>
          <w:ilvl w:val="0"/>
          <w:numId w:val="18"/>
        </w:numPr>
        <w:spacing w:line="240" w:lineRule="auto"/>
        <w:jc w:val="both"/>
        <w:rPr>
          <w:rFonts w:cs="Times New Roman"/>
        </w:rPr>
      </w:pPr>
      <w:r w:rsidRPr="00EC14DE">
        <w:rPr>
          <w:rFonts w:ascii="Times New Roman" w:hAnsi="Times New Roman" w:cs="Times New Roman"/>
        </w:rPr>
        <w:t>Al comma 5 è aggiunto, infine, il seguente periodo: «Il presente comma cessa di avere applicazione per i trattamenti di integrazione salariale relativi a periodi di sospensione o riduzione dell’attività lavorativa decorrenti dal 1° gennaio 2022.».</w:t>
      </w:r>
    </w:p>
    <w:p w14:paraId="07601011" w14:textId="77777777" w:rsidR="008A457D" w:rsidRPr="00EC14DE" w:rsidRDefault="008A457D" w:rsidP="007C594F">
      <w:pPr>
        <w:pStyle w:val="Titolo3"/>
        <w:keepNext w:val="0"/>
        <w:keepLines w:val="0"/>
        <w:widowControl w:val="0"/>
      </w:pPr>
      <w:bookmarkStart w:id="32" w:name="_Hlk71193540"/>
      <w:bookmarkStart w:id="33" w:name="_Toc86301874"/>
      <w:bookmarkStart w:id="34" w:name="_Hlk74646557"/>
      <w:bookmarkStart w:id="35" w:name="_Hlk71196376"/>
      <w:r w:rsidRPr="00EC14DE">
        <w:t xml:space="preserve">ART. </w:t>
      </w:r>
      <w:r w:rsidRPr="00EC14DE">
        <w:fldChar w:fldCharType="begin"/>
      </w:r>
      <w:r w:rsidRPr="00EC14DE">
        <w:instrText xml:space="preserve"> AUTONUM  \* Arabic </w:instrText>
      </w:r>
      <w:r w:rsidRPr="00EC14DE">
        <w:fldChar w:fldCharType="end"/>
      </w:r>
      <w:r w:rsidRPr="00EC14DE">
        <w:br/>
        <w:t>(Causali di intervento delle integrazioni salariali straordinarie)</w:t>
      </w:r>
      <w:bookmarkEnd w:id="32"/>
      <w:bookmarkEnd w:id="33"/>
    </w:p>
    <w:p w14:paraId="0B5506F7" w14:textId="77777777" w:rsidR="008A457D" w:rsidRPr="00EC14DE" w:rsidRDefault="008A457D" w:rsidP="007C594F">
      <w:pPr>
        <w:widowControl w:val="0"/>
        <w:rPr>
          <w:rFonts w:cs="Times New Roman"/>
        </w:rPr>
      </w:pPr>
      <w:r w:rsidRPr="00EC14DE">
        <w:rPr>
          <w:rFonts w:cs="Times New Roman"/>
        </w:rPr>
        <w:t>1. All’articolo 21 del decreto legislativo 14 settembre 2015, n. 148, sono apportate le seguenti modificazioni:</w:t>
      </w:r>
    </w:p>
    <w:p w14:paraId="57F8DA57" w14:textId="77777777" w:rsidR="008A457D" w:rsidRPr="00EC14DE" w:rsidRDefault="008A457D" w:rsidP="001C111E">
      <w:pPr>
        <w:pStyle w:val="Paragrafoelenco"/>
        <w:widowControl w:val="0"/>
        <w:numPr>
          <w:ilvl w:val="0"/>
          <w:numId w:val="19"/>
        </w:numPr>
        <w:spacing w:line="240" w:lineRule="auto"/>
        <w:jc w:val="both"/>
        <w:rPr>
          <w:rFonts w:ascii="Times New Roman" w:hAnsi="Times New Roman" w:cs="Times New Roman"/>
        </w:rPr>
      </w:pPr>
      <w:r w:rsidRPr="00EC14DE">
        <w:rPr>
          <w:rFonts w:ascii="Times New Roman" w:hAnsi="Times New Roman" w:cs="Times New Roman"/>
        </w:rPr>
        <w:t>Al comma 1, lettera a), dopo le parole: «riorganizzazione aziendale», sono aggiunte le seguenti: «, anche per realizzare processi di transizione individuati e regolati con decreto del Ministro del Lavoro e delle Politiche Sociali, sentito il Ministero dello Sviluppo Economico, da adottare entro sessanta giorni dall’entrata in vigore del presente decreto»</w:t>
      </w:r>
    </w:p>
    <w:p w14:paraId="00DD26AF" w14:textId="77777777" w:rsidR="008A457D" w:rsidRPr="00EC14DE" w:rsidRDefault="008A457D" w:rsidP="001C111E">
      <w:pPr>
        <w:pStyle w:val="Paragrafoelenco"/>
        <w:widowControl w:val="0"/>
        <w:numPr>
          <w:ilvl w:val="0"/>
          <w:numId w:val="19"/>
        </w:numPr>
        <w:spacing w:line="240" w:lineRule="auto"/>
        <w:jc w:val="both"/>
        <w:rPr>
          <w:rFonts w:ascii="Times New Roman" w:hAnsi="Times New Roman" w:cs="Times New Roman"/>
        </w:rPr>
      </w:pPr>
      <w:r w:rsidRPr="00EC14DE">
        <w:rPr>
          <w:rFonts w:ascii="Times New Roman" w:hAnsi="Times New Roman" w:cs="Times New Roman"/>
        </w:rPr>
        <w:t>Al comma 2, primo periodo, dopo le parole: «gestionale o produttiva», sono aggiunte le seguenti: «ovvero a gestire processi di transizione».</w:t>
      </w:r>
    </w:p>
    <w:p w14:paraId="3F21AA57" w14:textId="77777777" w:rsidR="008A457D" w:rsidRPr="00EC14DE" w:rsidRDefault="008A457D" w:rsidP="001C111E">
      <w:pPr>
        <w:pStyle w:val="Paragrafoelenco"/>
        <w:widowControl w:val="0"/>
        <w:numPr>
          <w:ilvl w:val="0"/>
          <w:numId w:val="19"/>
        </w:numPr>
        <w:spacing w:line="240" w:lineRule="auto"/>
        <w:jc w:val="both"/>
        <w:rPr>
          <w:rFonts w:ascii="Times New Roman" w:hAnsi="Times New Roman" w:cs="Times New Roman"/>
        </w:rPr>
      </w:pPr>
      <w:r w:rsidRPr="00EC14DE">
        <w:rPr>
          <w:rFonts w:ascii="Times New Roman" w:hAnsi="Times New Roman" w:cs="Times New Roman"/>
        </w:rPr>
        <w:t>Al comma 2, secondo periodo, dopo le parole: «recupero occupazionale», sono aggiunte le seguenti: «anche in termini di riqualificazione professionale e di potenziamento delle competenze».</w:t>
      </w:r>
    </w:p>
    <w:p w14:paraId="0990B03D" w14:textId="77777777" w:rsidR="008A457D" w:rsidRPr="00EC14DE" w:rsidRDefault="008A457D" w:rsidP="001C111E">
      <w:pPr>
        <w:pStyle w:val="Paragrafoelenco"/>
        <w:widowControl w:val="0"/>
        <w:numPr>
          <w:ilvl w:val="0"/>
          <w:numId w:val="19"/>
        </w:numPr>
        <w:spacing w:line="240" w:lineRule="auto"/>
        <w:jc w:val="both"/>
        <w:rPr>
          <w:rFonts w:ascii="Times New Roman" w:hAnsi="Times New Roman" w:cs="Times New Roman"/>
        </w:rPr>
      </w:pPr>
      <w:r w:rsidRPr="00EC14DE">
        <w:rPr>
          <w:rFonts w:ascii="Times New Roman" w:hAnsi="Times New Roman" w:cs="Times New Roman"/>
        </w:rPr>
        <w:t>Il comma 5 è sostituito dal seguente:</w:t>
      </w:r>
    </w:p>
    <w:p w14:paraId="0EC5D0EE" w14:textId="77777777" w:rsidR="00F0625B" w:rsidRPr="00EC14DE" w:rsidRDefault="008A457D" w:rsidP="00F0625B">
      <w:pPr>
        <w:pStyle w:val="Paragrafoelenco"/>
        <w:widowControl w:val="0"/>
        <w:spacing w:line="240" w:lineRule="auto"/>
        <w:jc w:val="both"/>
        <w:rPr>
          <w:rFonts w:ascii="Times New Roman" w:hAnsi="Times New Roman" w:cs="Times New Roman"/>
        </w:rPr>
      </w:pPr>
      <w:r w:rsidRPr="00EC14DE">
        <w:rPr>
          <w:rFonts w:ascii="Times New Roman" w:hAnsi="Times New Roman" w:cs="Times New Roman"/>
        </w:rPr>
        <w:t>«5. Il contratto di solidarietà di cui al comma 1, lettera c), è stipulato dall'impresa attraverso contratti collettivi aziendali ai sensi dell'articolo 51 del decreto legislativo 15 giugno 2015, n. 81, che stabiliscono una riduzione dell'orario di lavoro al fine di evitare, in tutto o in parte, la riduzione o la dichiarazione di esubero del personale anche attraverso un suo più razionale impiego. La riduzione media oraria non può essere superiore al 60 per cento dell'orario giornaliero, settimanale o mensile dei lavoratori interessati al contratto di solidarietà. Per i contratti di solidarietà stipulati a decorrere dal 1° gennaio 2022 la riduzione media oraria non può essere superiore al 80 per cento dell’orario giornaliero, settimane o mensile dei lavoratori interessati al contratto di solidarietà. Per ciascun lavoratore, la percentuale di riduzione complessiva dell'orario di lavoro non può essere superiore al 70 per cento nell'arco dell'intero periodo per il quale il contratto di solidarietà è stipulato. Per i contratti di solidarietà stipulati a decorrere dal 1° gennaio 2022 la percentuale di riduzione complessiva dell'orario di lavoro non può essere superiore al 90 per cento nell'arco dell'intero periodo per il quale il contratto di solidarietà è stipulato. Il trattamento retributivo perso va determinato inizialmente non tenendo conto degli aumenti retributivi previsti da contratti collettivi aziendali nel periodo di sei mesi antecedente la stipula del contratto di solidarietà. Il trattamento di integrazione salariale è ridotto in corrispondenza di eventuali successivi aumenti retributivi intervenuti in sede di contrattazione aziendale. Gli accordi di cui al primo periodo devono specificare le modalità attraverso le quali l'impresa, per soddisfare temporanee esigenze di maggior lavoro, può modificare in aumento, nei limiti del normale orario di lavoro, l'orario ridotto. Il maggior lavoro prestato comporta una corrispondente riduzione del trattamento di integrazione salariale. Le quote di accantonamento del trattamento di fine rapporto relative alla retribuzione persa a seguito della riduzione dell'orario di lavoro sono a carico della gestione di afferenza, ad eccezione di quelle relative a lavoratori licenziati per motivo oggettivo o nell'ambito di una procedura di licenziamento collettivo, entro 90 giorni dal termine del periodo di fruizione del trattamento di integrazione salariale, ovvero entro 90 giorni dal termine del periodo di fruizione di un ulteriore trattamento straordinario di integrazione salariale concesso entro 120 giorni dal termine del trattamento precedente.».</w:t>
      </w:r>
    </w:p>
    <w:p w14:paraId="55ECF9D9" w14:textId="77777777" w:rsidR="008A457D" w:rsidRPr="00EC14DE" w:rsidRDefault="008A457D" w:rsidP="007C594F">
      <w:pPr>
        <w:pStyle w:val="Titolo3"/>
        <w:keepNext w:val="0"/>
        <w:keepLines w:val="0"/>
        <w:widowControl w:val="0"/>
      </w:pPr>
      <w:bookmarkStart w:id="36" w:name="_Toc86301875"/>
      <w:bookmarkEnd w:id="34"/>
      <w:r w:rsidRPr="00EC14DE">
        <w:t xml:space="preserve">ART. </w:t>
      </w:r>
      <w:r w:rsidRPr="00EC14DE">
        <w:fldChar w:fldCharType="begin"/>
      </w:r>
      <w:r w:rsidRPr="00EC14DE">
        <w:instrText xml:space="preserve"> AUTONUM  \* Arabic </w:instrText>
      </w:r>
      <w:r w:rsidRPr="00EC14DE">
        <w:fldChar w:fldCharType="end"/>
      </w:r>
      <w:r w:rsidRPr="00EC14DE">
        <w:br/>
        <w:t>(Accordo di transizione occupazionale)</w:t>
      </w:r>
      <w:bookmarkEnd w:id="36"/>
    </w:p>
    <w:p w14:paraId="7F39ED4B" w14:textId="77777777" w:rsidR="008A457D" w:rsidRPr="00EC14DE" w:rsidRDefault="008A457D" w:rsidP="007C594F">
      <w:pPr>
        <w:widowControl w:val="0"/>
        <w:rPr>
          <w:rFonts w:cs="Times New Roman"/>
        </w:rPr>
      </w:pPr>
      <w:r w:rsidRPr="00EC14DE">
        <w:rPr>
          <w:rFonts w:cs="Times New Roman"/>
        </w:rPr>
        <w:t>1. Dopo l’articolo 22-bis del decreto legislativo 14 settembre 2015, n. 148, è inserito il seguente:</w:t>
      </w:r>
    </w:p>
    <w:p w14:paraId="6C5152ED" w14:textId="77777777" w:rsidR="008A457D" w:rsidRPr="00EC14DE" w:rsidRDefault="008A457D" w:rsidP="007C594F">
      <w:pPr>
        <w:widowControl w:val="0"/>
        <w:jc w:val="center"/>
        <w:rPr>
          <w:rFonts w:cs="Times New Roman"/>
        </w:rPr>
      </w:pPr>
      <w:bookmarkStart w:id="37" w:name="_Hlk83893821"/>
      <w:r w:rsidRPr="00EC14DE">
        <w:rPr>
          <w:rFonts w:cs="Times New Roman"/>
        </w:rPr>
        <w:t>Art 22-ter</w:t>
      </w:r>
    </w:p>
    <w:p w14:paraId="06E73188" w14:textId="77777777" w:rsidR="008A457D" w:rsidRPr="00EC14DE" w:rsidRDefault="008A457D" w:rsidP="007C594F">
      <w:pPr>
        <w:widowControl w:val="0"/>
        <w:jc w:val="center"/>
        <w:rPr>
          <w:rFonts w:cs="Times New Roman"/>
        </w:rPr>
      </w:pPr>
      <w:r w:rsidRPr="00EC14DE">
        <w:rPr>
          <w:rFonts w:cs="Times New Roman"/>
        </w:rPr>
        <w:t>(Accordo di transizione occupazionale)</w:t>
      </w:r>
    </w:p>
    <w:bookmarkEnd w:id="37"/>
    <w:p w14:paraId="6E63E361" w14:textId="77777777" w:rsidR="008A457D" w:rsidRPr="00EC14DE" w:rsidRDefault="008A457D" w:rsidP="007C594F">
      <w:pPr>
        <w:widowControl w:val="0"/>
        <w:rPr>
          <w:rFonts w:cs="Times New Roman"/>
        </w:rPr>
      </w:pPr>
      <w:r w:rsidRPr="00EC14DE">
        <w:rPr>
          <w:rFonts w:cs="Times New Roman"/>
        </w:rPr>
        <w:t>1. Al fine di sostenere le transizioni occupazionali all’esito dell'intervento straordinario di integrazione salariale per le causali di cui all’articolo 21, comma 1, lettere a) e b), ai datori di lavoro che occupano più di quindici dipendenti può essere concesso, in deroga agli articoli 4 e 22, un ulteriore intervento di integrazione salariale straordinaria finalizzato al recupero occupazionale dei lavoratori a rischio esubero, pari a un massimo di dodici mesi complessivi non ulteriormente prorogabili.</w:t>
      </w:r>
    </w:p>
    <w:p w14:paraId="0916EA31" w14:textId="77777777" w:rsidR="008A457D" w:rsidRPr="00EC14DE" w:rsidRDefault="008A457D" w:rsidP="007C594F">
      <w:pPr>
        <w:widowControl w:val="0"/>
        <w:rPr>
          <w:rFonts w:cs="Times New Roman"/>
        </w:rPr>
      </w:pPr>
      <w:r w:rsidRPr="00EC14DE">
        <w:rPr>
          <w:rFonts w:cs="Times New Roman"/>
        </w:rPr>
        <w:t xml:space="preserve">2. Ai fini del riconoscimento del trattamento straordinario di integrazione salariare di cui al comma 1, in sede di procedura di consultazione sindacale di cui all’articolo 24, sono definite con accordo sindacale le azioni finalizzate alla rioccupazione o all'autoimpiego, quali formazione e riqualificazione professionale anche ricorrendo ai fondi interprofessionali. </w:t>
      </w:r>
      <w:bookmarkStart w:id="38" w:name="_Hlk83749109"/>
      <w:r w:rsidRPr="00EC14DE">
        <w:rPr>
          <w:rFonts w:cs="Times New Roman"/>
        </w:rPr>
        <w:t>La mancata partecipazione alle predette azioni, per esclusiva responsabilità del lavoratore, comporta la decadenza dalla prestazione di integrazione salariale</w:t>
      </w:r>
      <w:bookmarkEnd w:id="38"/>
      <w:r w:rsidRPr="00EC14DE">
        <w:rPr>
          <w:rFonts w:cs="Times New Roman"/>
        </w:rPr>
        <w:t>.</w:t>
      </w:r>
    </w:p>
    <w:p w14:paraId="4F230748" w14:textId="77777777" w:rsidR="008A457D" w:rsidRPr="00EC14DE" w:rsidRDefault="008A457D" w:rsidP="007C594F">
      <w:pPr>
        <w:widowControl w:val="0"/>
        <w:rPr>
          <w:rFonts w:cs="Times New Roman"/>
        </w:rPr>
      </w:pPr>
      <w:r w:rsidRPr="00EC14DE">
        <w:rPr>
          <w:rFonts w:cs="Times New Roman"/>
        </w:rPr>
        <w:t>3. Le azioni definite dall’accordo sindacale di cui al comma 2 possono essere cofinanziate dalle regioni nell’ambito delle rispettive misure di formazione e politica attiva del lavoro.</w:t>
      </w:r>
    </w:p>
    <w:p w14:paraId="0DDB38D0" w14:textId="77777777" w:rsidR="008A457D" w:rsidRPr="00EC14DE" w:rsidRDefault="008A457D" w:rsidP="007C594F">
      <w:pPr>
        <w:widowControl w:val="0"/>
        <w:rPr>
          <w:rFonts w:cs="Times New Roman"/>
        </w:rPr>
      </w:pPr>
      <w:r w:rsidRPr="00EC14DE">
        <w:rPr>
          <w:rFonts w:cs="Times New Roman"/>
        </w:rPr>
        <w:t>4. I lavoratori interessati dal trattamento di integrazione salariale straordinaria di cui al comma 1 accedono al programma Garanzia di occupabilità dei lavoratori GOL di cui all'articolo 1, comma 324, della legge 30 dicembre 2020, n. 178; a tal fine i nominativi dei lavoratori coinvolti sono comunicati all’ANPAL che li mette a disposizione delle regioni interessate.</w:t>
      </w:r>
    </w:p>
    <w:p w14:paraId="2E1F4D5E" w14:textId="77777777" w:rsidR="008A457D" w:rsidRPr="00EC14DE" w:rsidRDefault="008A457D" w:rsidP="007C594F">
      <w:pPr>
        <w:widowControl w:val="0"/>
        <w:rPr>
          <w:rFonts w:cs="Times New Roman"/>
        </w:rPr>
      </w:pPr>
      <w:r w:rsidRPr="00EC14DE">
        <w:rPr>
          <w:rFonts w:cs="Times New Roman"/>
        </w:rPr>
        <w:t>5. Per l’anno 2022, il trattamento straordinario di integrazione salariare di cui all’articolo 22-bis può essere concesso esclusivamente per la proroga dell'intervento di integrazione salariale straordinaria per la causale contratto di solidarietà.</w:t>
      </w:r>
    </w:p>
    <w:p w14:paraId="01E7E5C5" w14:textId="77777777" w:rsidR="008A457D" w:rsidRPr="00EC14DE" w:rsidRDefault="008A457D" w:rsidP="007C594F">
      <w:pPr>
        <w:pStyle w:val="Titolo3"/>
        <w:keepNext w:val="0"/>
        <w:keepLines w:val="0"/>
        <w:widowControl w:val="0"/>
      </w:pPr>
      <w:bookmarkStart w:id="39" w:name="_Toc86301876"/>
      <w:r w:rsidRPr="00EC14DE">
        <w:t xml:space="preserve">ART. </w:t>
      </w:r>
      <w:r w:rsidRPr="00EC14DE">
        <w:fldChar w:fldCharType="begin"/>
      </w:r>
      <w:r w:rsidRPr="00EC14DE">
        <w:instrText xml:space="preserve"> AUTONUM  \* Arabic </w:instrText>
      </w:r>
      <w:r w:rsidRPr="00EC14DE">
        <w:fldChar w:fldCharType="end"/>
      </w:r>
      <w:r w:rsidRPr="00EC14DE">
        <w:br/>
        <w:t>(Contribuzione delle integrazioni salariali straordinarie)</w:t>
      </w:r>
      <w:bookmarkEnd w:id="39"/>
    </w:p>
    <w:p w14:paraId="38666925" w14:textId="77777777" w:rsidR="008A457D" w:rsidRPr="00EC14DE" w:rsidRDefault="008A457D" w:rsidP="007C594F">
      <w:pPr>
        <w:widowControl w:val="0"/>
        <w:rPr>
          <w:rFonts w:cs="Times New Roman"/>
        </w:rPr>
      </w:pPr>
      <w:r w:rsidRPr="00EC14DE">
        <w:rPr>
          <w:rFonts w:cs="Times New Roman"/>
        </w:rPr>
        <w:t>1. All’articolo 23 del decreto legislativo 14 settembre 2015, n. 148, dopo il comma 1, è aggiunto il seguente comma:</w:t>
      </w:r>
    </w:p>
    <w:p w14:paraId="4BDC7B39" w14:textId="77777777" w:rsidR="008A457D" w:rsidRPr="00EC14DE" w:rsidRDefault="008A457D" w:rsidP="007C594F">
      <w:pPr>
        <w:widowControl w:val="0"/>
        <w:rPr>
          <w:rFonts w:cs="Times New Roman"/>
        </w:rPr>
      </w:pPr>
      <w:r w:rsidRPr="00EC14DE">
        <w:rPr>
          <w:rFonts w:cs="Times New Roman"/>
        </w:rPr>
        <w:t>«1-bis. A decorrere dal 1° gennaio 2022, a carico dei datori di lavoro che, nel semestre precedente la data di presentazione della domanda abbiano occupato mediamente più di quindici dipendenti, nonché dei datori di lavoro di cui all’articolo 20, comma 3-ter, è stabilito un contributo ordinario nella misura dello 0,90 per cento della retribuzione imponibile ai fini previdenziali, di cui lo 0,30 per cento è a carico del lavoratore.».</w:t>
      </w:r>
    </w:p>
    <w:p w14:paraId="64700ED3" w14:textId="77777777" w:rsidR="008A457D" w:rsidRPr="00EC14DE" w:rsidRDefault="008A457D" w:rsidP="007C594F">
      <w:pPr>
        <w:pStyle w:val="Titolo3"/>
        <w:keepNext w:val="0"/>
        <w:keepLines w:val="0"/>
        <w:widowControl w:val="0"/>
      </w:pPr>
      <w:bookmarkStart w:id="40" w:name="_Toc86301877"/>
      <w:r w:rsidRPr="00EC14DE">
        <w:t xml:space="preserve">ART. </w:t>
      </w:r>
      <w:r w:rsidRPr="00EC14DE">
        <w:fldChar w:fldCharType="begin"/>
      </w:r>
      <w:r w:rsidRPr="00EC14DE">
        <w:instrText xml:space="preserve"> AUTONUM  \* Arabic </w:instrText>
      </w:r>
      <w:r w:rsidRPr="00EC14DE">
        <w:fldChar w:fldCharType="end"/>
      </w:r>
      <w:r w:rsidRPr="00EC14DE">
        <w:br/>
        <w:t>(Consultazione sindacale per le integrazioni salariali straordinarie)</w:t>
      </w:r>
      <w:bookmarkEnd w:id="40"/>
    </w:p>
    <w:p w14:paraId="39F59BAE" w14:textId="77777777" w:rsidR="008A457D" w:rsidRPr="00EC14DE" w:rsidRDefault="008A457D" w:rsidP="007C594F">
      <w:pPr>
        <w:widowControl w:val="0"/>
        <w:rPr>
          <w:rFonts w:cs="Times New Roman"/>
        </w:rPr>
      </w:pPr>
      <w:r w:rsidRPr="00EC14DE">
        <w:rPr>
          <w:rFonts w:cs="Times New Roman"/>
        </w:rPr>
        <w:t>1. All’articolo 24 del decreto legislativo 14 settembre 2015, n. 148, al comma 3, dopo le parole «esame congiunto», sono aggiunte le seguenti parole: «da tenersi anche in via telematica».</w:t>
      </w:r>
    </w:p>
    <w:p w14:paraId="1E6232B0" w14:textId="77777777" w:rsidR="008A457D" w:rsidRPr="00EC14DE" w:rsidRDefault="008A457D" w:rsidP="007C594F">
      <w:pPr>
        <w:pStyle w:val="Titolo3"/>
        <w:keepNext w:val="0"/>
        <w:keepLines w:val="0"/>
        <w:widowControl w:val="0"/>
        <w:rPr>
          <w:rFonts w:cs="Times New Roman"/>
          <w:szCs w:val="22"/>
        </w:rPr>
      </w:pPr>
      <w:bookmarkStart w:id="41" w:name="_Toc86301878"/>
      <w:bookmarkEnd w:id="35"/>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Fonts w:cs="Times New Roman"/>
          <w:szCs w:val="22"/>
        </w:rPr>
        <w:t>(Condizionalità e riqualificazione professionale)</w:t>
      </w:r>
      <w:bookmarkEnd w:id="41"/>
    </w:p>
    <w:p w14:paraId="383F4090" w14:textId="77777777" w:rsidR="008A457D" w:rsidRPr="00EC14DE" w:rsidRDefault="008A457D" w:rsidP="007C594F">
      <w:pPr>
        <w:widowControl w:val="0"/>
        <w:rPr>
          <w:rFonts w:cs="Times New Roman"/>
        </w:rPr>
      </w:pPr>
      <w:r w:rsidRPr="00EC14DE">
        <w:rPr>
          <w:rFonts w:cs="Times New Roman"/>
        </w:rPr>
        <w:t>1. Dopo l’articolo 25-bis del decreto legislativo 14 settembre 2015, n. 148, è inserito il seguente:</w:t>
      </w:r>
    </w:p>
    <w:p w14:paraId="6D9C97BF" w14:textId="77777777" w:rsidR="008A457D" w:rsidRPr="00EC14DE" w:rsidRDefault="008A457D" w:rsidP="007C594F">
      <w:pPr>
        <w:widowControl w:val="0"/>
        <w:jc w:val="center"/>
        <w:rPr>
          <w:rFonts w:cs="Times New Roman"/>
        </w:rPr>
      </w:pPr>
    </w:p>
    <w:p w14:paraId="2B766683" w14:textId="77777777" w:rsidR="008A457D" w:rsidRPr="00EC14DE" w:rsidRDefault="008A457D" w:rsidP="007C594F">
      <w:pPr>
        <w:widowControl w:val="0"/>
        <w:jc w:val="center"/>
        <w:rPr>
          <w:rFonts w:cs="Times New Roman"/>
        </w:rPr>
      </w:pPr>
      <w:bookmarkStart w:id="42" w:name="_Hlk83894103"/>
      <w:r w:rsidRPr="00EC14DE">
        <w:rPr>
          <w:rFonts w:cs="Times New Roman"/>
        </w:rPr>
        <w:t>«Art. 25-ter</w:t>
      </w:r>
    </w:p>
    <w:p w14:paraId="78476742" w14:textId="77777777" w:rsidR="008A457D" w:rsidRPr="00EC14DE" w:rsidRDefault="008A457D" w:rsidP="007C594F">
      <w:pPr>
        <w:widowControl w:val="0"/>
        <w:jc w:val="center"/>
        <w:rPr>
          <w:rFonts w:cs="Times New Roman"/>
        </w:rPr>
      </w:pPr>
      <w:r w:rsidRPr="00EC14DE">
        <w:rPr>
          <w:rFonts w:cs="Times New Roman"/>
        </w:rPr>
        <w:t>(Condizionalità e formazione)</w:t>
      </w:r>
    </w:p>
    <w:p w14:paraId="66514D9A" w14:textId="77777777" w:rsidR="008A457D" w:rsidRPr="00EC14DE" w:rsidRDefault="008A457D" w:rsidP="007C594F">
      <w:pPr>
        <w:widowControl w:val="0"/>
        <w:rPr>
          <w:rFonts w:cs="Times New Roman"/>
        </w:rPr>
      </w:pPr>
      <w:r w:rsidRPr="00EC14DE">
        <w:rPr>
          <w:rFonts w:cs="Times New Roman"/>
        </w:rPr>
        <w:t>1. I lavoratori beneficiari di integrazioni salariali di cui al presente Capo, allo scopo di mantenere o sviluppare le competenze in vista della conclusione della procedura di sospensione o riduzione dell’attività lavorativa ed in connessione con la domanda di lavoro espressa dal territorio, partecipano a iniziative di carattere formativo o di riqualificazione, anche mediante fondi interprofessionali.</w:t>
      </w:r>
    </w:p>
    <w:p w14:paraId="581B0C3F" w14:textId="77777777" w:rsidR="008A457D" w:rsidRPr="00EC14DE" w:rsidRDefault="008A457D" w:rsidP="007C594F">
      <w:pPr>
        <w:widowControl w:val="0"/>
        <w:rPr>
          <w:rFonts w:cs="Times New Roman"/>
        </w:rPr>
      </w:pPr>
      <w:r w:rsidRPr="00EC14DE">
        <w:rPr>
          <w:rFonts w:cs="Times New Roman"/>
        </w:rPr>
        <w:t>2. Le iniziative di cui al comma 1 possono essere cofinanziate dalle regioni nell’ambito delle rispettive misure di formazione e politica attiva del lavoro.</w:t>
      </w:r>
    </w:p>
    <w:p w14:paraId="20B1BE08" w14:textId="77777777" w:rsidR="008A457D" w:rsidRPr="00EC14DE" w:rsidRDefault="008A457D" w:rsidP="007C594F">
      <w:pPr>
        <w:widowControl w:val="0"/>
        <w:rPr>
          <w:rFonts w:cs="Times New Roman"/>
        </w:rPr>
      </w:pPr>
      <w:r w:rsidRPr="00EC14DE">
        <w:rPr>
          <w:rFonts w:cs="Times New Roman"/>
        </w:rPr>
        <w:t>3. L’ingiustificata partecipazione alle iniziative di cui al comma 1 comporta l’irrogazione di sanzioni che vanno dalla decurtazione di una mensilità di trattamento di integrazione salariale fino alla decadenza secondo le modalità e i criteri da definire con decreto del Ministro del lavoro e delle politiche sociali, da adottare sessanta giorni dalla data di entrata in vigore della presente legge.</w:t>
      </w:r>
    </w:p>
    <w:p w14:paraId="5DD3F705" w14:textId="77777777" w:rsidR="008A457D" w:rsidRPr="00EC14DE" w:rsidRDefault="008A457D" w:rsidP="007C594F">
      <w:pPr>
        <w:widowControl w:val="0"/>
        <w:rPr>
          <w:rFonts w:cs="Times New Roman"/>
        </w:rPr>
      </w:pPr>
      <w:r w:rsidRPr="00EC14DE">
        <w:rPr>
          <w:rFonts w:cs="Times New Roman"/>
        </w:rPr>
        <w:t>4. Le modalità di attuazione delle iniziative di carattere formativo o di riqualificazione di cui al comma 1 sono definite con decreto del Ministro del lavoro e delle politiche sociali, previa intesa in sede di Conferenza unificata di cui all'articolo 8 del decreto legislativo 28 agosto 1997, n. 281, da adottare sessanta giorni dalla data di entrata in vigore della presente legge.».</w:t>
      </w:r>
    </w:p>
    <w:bookmarkEnd w:id="42"/>
    <w:p w14:paraId="27B86AE9" w14:textId="77777777" w:rsidR="008A457D" w:rsidRPr="00EC14DE" w:rsidRDefault="008A457D" w:rsidP="007C594F">
      <w:pPr>
        <w:widowControl w:val="0"/>
        <w:rPr>
          <w:rFonts w:cs="Times New Roman"/>
        </w:rPr>
      </w:pPr>
      <w:r w:rsidRPr="00EC14DE">
        <w:rPr>
          <w:rFonts w:cs="Times New Roman"/>
        </w:rPr>
        <w:t>2. L’articolo 22 del decreto legislativo 14 settembre 2015, n. 150 è abrogato.</w:t>
      </w:r>
    </w:p>
    <w:p w14:paraId="68EA3C4B" w14:textId="77777777" w:rsidR="008A457D" w:rsidRPr="00EC14DE" w:rsidRDefault="008A457D" w:rsidP="007C594F">
      <w:pPr>
        <w:pStyle w:val="Titolo3"/>
        <w:keepNext w:val="0"/>
        <w:keepLines w:val="0"/>
        <w:widowControl w:val="0"/>
      </w:pPr>
      <w:bookmarkStart w:id="43" w:name="_Toc86301879"/>
      <w:r w:rsidRPr="00EC14DE">
        <w:t xml:space="preserve">ART. </w:t>
      </w:r>
      <w:r w:rsidRPr="00EC14DE">
        <w:fldChar w:fldCharType="begin"/>
      </w:r>
      <w:r w:rsidRPr="00EC14DE">
        <w:instrText xml:space="preserve"> AUTONUM  \* Arabic </w:instrText>
      </w:r>
      <w:r w:rsidRPr="00EC14DE">
        <w:fldChar w:fldCharType="end"/>
      </w:r>
      <w:r w:rsidRPr="00EC14DE">
        <w:br/>
        <w:t>(Fondi di solidarietà bilaterali)</w:t>
      </w:r>
      <w:bookmarkEnd w:id="43"/>
    </w:p>
    <w:p w14:paraId="7D17E64E" w14:textId="77777777" w:rsidR="008A457D" w:rsidRPr="00EC14DE" w:rsidRDefault="008A457D" w:rsidP="007C594F">
      <w:pPr>
        <w:widowControl w:val="0"/>
        <w:rPr>
          <w:rFonts w:cs="Times New Roman"/>
        </w:rPr>
      </w:pPr>
      <w:r w:rsidRPr="00EC14DE">
        <w:rPr>
          <w:rFonts w:cs="Times New Roman"/>
        </w:rPr>
        <w:t>1. All’articolo 26 del decreto legislativo 14 settembre 2015, n. 148, sono apportate le seguenti modificazioni:</w:t>
      </w:r>
    </w:p>
    <w:p w14:paraId="18EB2F1B" w14:textId="77777777" w:rsidR="008A457D" w:rsidRPr="00EC14DE" w:rsidRDefault="008A457D" w:rsidP="001C111E">
      <w:pPr>
        <w:pStyle w:val="Paragrafoelenco"/>
        <w:widowControl w:val="0"/>
        <w:numPr>
          <w:ilvl w:val="0"/>
          <w:numId w:val="20"/>
        </w:numPr>
        <w:spacing w:line="240" w:lineRule="auto"/>
        <w:jc w:val="both"/>
        <w:rPr>
          <w:rFonts w:ascii="Times New Roman" w:hAnsi="Times New Roman" w:cs="Times New Roman"/>
        </w:rPr>
      </w:pPr>
      <w:r w:rsidRPr="00EC14DE">
        <w:rPr>
          <w:rFonts w:ascii="Times New Roman" w:hAnsi="Times New Roman" w:cs="Times New Roman"/>
        </w:rPr>
        <w:t>Dopo il comma 1, è aggiunto il seguente:</w:t>
      </w:r>
    </w:p>
    <w:p w14:paraId="117AE086" w14:textId="77777777" w:rsidR="008A457D" w:rsidRPr="00EC14DE" w:rsidRDefault="008A457D" w:rsidP="007C594F">
      <w:pPr>
        <w:pStyle w:val="Paragrafoelenco"/>
        <w:widowControl w:val="0"/>
        <w:spacing w:line="240" w:lineRule="auto"/>
        <w:rPr>
          <w:rFonts w:ascii="Times New Roman" w:hAnsi="Times New Roman" w:cs="Times New Roman"/>
        </w:rPr>
      </w:pPr>
      <w:r w:rsidRPr="00EC14DE">
        <w:rPr>
          <w:rFonts w:ascii="Times New Roman" w:hAnsi="Times New Roman" w:cs="Times New Roman"/>
        </w:rPr>
        <w:t>«1-bis. A decorrere dal 1° gennaio 2022, fatti salvi i fondi di solidarietà bilaterali già costituiti a quella data che dovranno comunque adeguarsi ai sensi dell’art. 30, comma 1-bis, le organizzazioni sindacali e imprenditoriali comparativamente più rappresentative a livello nazionale stipulano accordi e contratti collettivi, anche intersettoriali, aventi a oggetto la costituzione di fondi di solidarietà bilaterali per i datori di lavoro che non rientrano nell’ambito di applicazione dell’art. 10, con la finalità di assicurare ai lavoratori una tutela in costanza di rapporto di lavoro nei casi di riduzione o sospensione dell’attività lavorativa per le causali ordinarie e straordinarie così come regolate dalle disposizioni di cui al Titolo I.».</w:t>
      </w:r>
    </w:p>
    <w:p w14:paraId="3204339F" w14:textId="77777777" w:rsidR="008A457D" w:rsidRPr="00EC14DE" w:rsidRDefault="008A457D" w:rsidP="001C111E">
      <w:pPr>
        <w:pStyle w:val="Paragrafoelenco"/>
        <w:widowControl w:val="0"/>
        <w:numPr>
          <w:ilvl w:val="0"/>
          <w:numId w:val="20"/>
        </w:numPr>
        <w:spacing w:line="240" w:lineRule="auto"/>
        <w:jc w:val="both"/>
        <w:rPr>
          <w:rFonts w:ascii="Times New Roman" w:hAnsi="Times New Roman" w:cs="Times New Roman"/>
        </w:rPr>
      </w:pPr>
      <w:r w:rsidRPr="00EC14DE">
        <w:rPr>
          <w:rFonts w:ascii="Times New Roman" w:hAnsi="Times New Roman" w:cs="Times New Roman"/>
        </w:rPr>
        <w:t>Dopo il comma 7, è aggiunto il seguente:</w:t>
      </w:r>
    </w:p>
    <w:p w14:paraId="663D246A" w14:textId="77777777" w:rsidR="008A457D" w:rsidRPr="00EC14DE" w:rsidRDefault="008A457D" w:rsidP="007C594F">
      <w:pPr>
        <w:pStyle w:val="Paragrafoelenco"/>
        <w:widowControl w:val="0"/>
        <w:spacing w:line="240" w:lineRule="auto"/>
        <w:rPr>
          <w:rFonts w:ascii="Times New Roman" w:hAnsi="Times New Roman" w:cs="Times New Roman"/>
        </w:rPr>
      </w:pPr>
      <w:r w:rsidRPr="00EC14DE">
        <w:rPr>
          <w:rFonts w:ascii="Times New Roman" w:hAnsi="Times New Roman" w:cs="Times New Roman"/>
        </w:rPr>
        <w:t>«7-bis. A decorrere dal 1° gennaio 2022, l’istituzione dei fondi di cui al comma 1-bis, è obbligatoria per i datori di lavoro che occupano almeno un dipendente. I fondi già costituiti si adeguano alle disposizioni di cui al presente comma entro il 31 dicembre 2022. In mancanza, i datori di lavoro del relativo settore confluiscono, a decorrere dal 1° gennaio 2023, nel fondo di integrazione salariale di cui all'articolo 29 ove vengono trasferiti i contributi già versati o comunque dovuti dai datori di lavoro medesimi.».</w:t>
      </w:r>
    </w:p>
    <w:p w14:paraId="52AAE58D" w14:textId="77777777" w:rsidR="008A457D" w:rsidRPr="00EC14DE" w:rsidRDefault="008A457D" w:rsidP="001C111E">
      <w:pPr>
        <w:pStyle w:val="Paragrafoelenco"/>
        <w:widowControl w:val="0"/>
        <w:numPr>
          <w:ilvl w:val="0"/>
          <w:numId w:val="20"/>
        </w:numPr>
        <w:spacing w:line="240" w:lineRule="auto"/>
        <w:jc w:val="both"/>
        <w:rPr>
          <w:rFonts w:ascii="Times New Roman" w:hAnsi="Times New Roman" w:cs="Times New Roman"/>
          <w:strike/>
        </w:rPr>
      </w:pPr>
      <w:r w:rsidRPr="00EC14DE">
        <w:rPr>
          <w:rFonts w:ascii="Times New Roman" w:hAnsi="Times New Roman" w:cs="Times New Roman"/>
        </w:rPr>
        <w:t>Al comma 9 dopo le parole: «I fondi di cui al comma 1,», sono aggiunte le seguenti: «che comprendono - per periodi di sospensione o riduzione dell’attività lavorativa decorrenti dal 1° gennaio 2022 - anche i datori di lavoro che occupano almeno un dipendente,».</w:t>
      </w:r>
    </w:p>
    <w:p w14:paraId="01353369" w14:textId="77777777" w:rsidR="008A457D" w:rsidRPr="00EC14DE" w:rsidRDefault="008A457D" w:rsidP="007C594F">
      <w:pPr>
        <w:pStyle w:val="Titolo3"/>
        <w:keepNext w:val="0"/>
        <w:keepLines w:val="0"/>
        <w:widowControl w:val="0"/>
      </w:pPr>
      <w:bookmarkStart w:id="44" w:name="_Toc86301880"/>
      <w:r w:rsidRPr="00EC14DE">
        <w:t xml:space="preserve">ART. </w:t>
      </w:r>
      <w:r w:rsidRPr="00EC14DE">
        <w:fldChar w:fldCharType="begin"/>
      </w:r>
      <w:r w:rsidRPr="00EC14DE">
        <w:instrText xml:space="preserve"> AUTONUM  \* Arabic </w:instrText>
      </w:r>
      <w:r w:rsidRPr="00EC14DE">
        <w:fldChar w:fldCharType="end"/>
      </w:r>
      <w:r w:rsidRPr="00EC14DE">
        <w:br/>
        <w:t>(Fondi di solidarietà bilaterali alternativi)</w:t>
      </w:r>
      <w:bookmarkEnd w:id="44"/>
    </w:p>
    <w:p w14:paraId="7101E6CF" w14:textId="77777777" w:rsidR="008A457D" w:rsidRPr="00EC14DE" w:rsidRDefault="008A457D" w:rsidP="007C594F">
      <w:pPr>
        <w:widowControl w:val="0"/>
        <w:rPr>
          <w:rFonts w:cs="Times New Roman"/>
        </w:rPr>
      </w:pPr>
      <w:r w:rsidRPr="00EC14DE">
        <w:rPr>
          <w:rFonts w:cs="Times New Roman"/>
        </w:rPr>
        <w:t>1. All’articolo 27 del decreto legislativo 14 settembre 2015, n. 148, sono apportate le seguenti modificazioni:</w:t>
      </w:r>
    </w:p>
    <w:p w14:paraId="71007EB8" w14:textId="77777777" w:rsidR="008A457D" w:rsidRPr="00EC14DE" w:rsidRDefault="008A457D" w:rsidP="007C594F">
      <w:pPr>
        <w:widowControl w:val="0"/>
        <w:rPr>
          <w:rFonts w:cs="Times New Roman"/>
        </w:rPr>
      </w:pPr>
      <w:r w:rsidRPr="00EC14DE">
        <w:rPr>
          <w:rFonts w:cs="Times New Roman"/>
        </w:rPr>
        <w:t xml:space="preserve">a) al comma 3, sono apportate le seguenti modificazioni: </w:t>
      </w:r>
    </w:p>
    <w:p w14:paraId="3B0A5766" w14:textId="77777777" w:rsidR="008A457D" w:rsidRPr="00EC14DE" w:rsidRDefault="008A457D" w:rsidP="007C594F">
      <w:pPr>
        <w:pStyle w:val="Paragrafoelenco"/>
        <w:widowControl w:val="0"/>
        <w:spacing w:line="240" w:lineRule="auto"/>
        <w:ind w:left="284"/>
        <w:jc w:val="both"/>
        <w:rPr>
          <w:rFonts w:ascii="Times New Roman" w:hAnsi="Times New Roman" w:cs="Times New Roman"/>
        </w:rPr>
      </w:pPr>
      <w:r w:rsidRPr="00EC14DE">
        <w:rPr>
          <w:rFonts w:ascii="Times New Roman" w:hAnsi="Times New Roman" w:cs="Times New Roman"/>
        </w:rPr>
        <w:t>1) alla lettera a) le parole: «assegno ordinario», sono sostituite dalle seguenti: «assegno di integrazione salariale»;</w:t>
      </w:r>
    </w:p>
    <w:p w14:paraId="16C7B5F4" w14:textId="77777777" w:rsidR="008A457D" w:rsidRPr="00EC14DE" w:rsidRDefault="008A457D" w:rsidP="007C594F">
      <w:pPr>
        <w:pStyle w:val="Paragrafoelenco"/>
        <w:widowControl w:val="0"/>
        <w:spacing w:line="240" w:lineRule="auto"/>
        <w:ind w:left="284"/>
        <w:jc w:val="both"/>
        <w:rPr>
          <w:rFonts w:ascii="Times New Roman" w:hAnsi="Times New Roman" w:cs="Times New Roman"/>
        </w:rPr>
      </w:pPr>
      <w:r w:rsidRPr="00EC14DE">
        <w:rPr>
          <w:rFonts w:ascii="Times New Roman" w:hAnsi="Times New Roman" w:cs="Times New Roman"/>
        </w:rPr>
        <w:t>2) alla lettera b) è aggiunto, infine, il seguente periodo: «L’assegno di solidarietà può essere riconosciuto per periodi di sospensione o riduzione dell’attività lavorativa fino al 31 dicembre 2021»;</w:t>
      </w:r>
    </w:p>
    <w:p w14:paraId="069C1993" w14:textId="77777777" w:rsidR="008A457D" w:rsidRPr="00EC14DE" w:rsidRDefault="008A457D" w:rsidP="007C594F">
      <w:pPr>
        <w:widowControl w:val="0"/>
        <w:rPr>
          <w:rFonts w:cs="Times New Roman"/>
        </w:rPr>
      </w:pPr>
      <w:r w:rsidRPr="00EC14DE">
        <w:rPr>
          <w:rFonts w:cs="Times New Roman"/>
        </w:rPr>
        <w:t>b) dopo il comma 4 è aggiunto il seguente: «4-bis. Per periodi di sospensione o riduzione dell’attività lavorativa decorrenti dal 1° gennaio 2022 rientrano nei fondi di cui al comma 1 anche i datori di lavoro che occupano almeno un dipendente. I fondi già costituiti si adeguano alle disposizioni di cui al presente comma entro il 31 dicembre 2022. In mancanza, i datori di lavoro confluiscono nel fondo di integrazione salariale di cui all'articolo 29, a decorrere dal 1° gennaio 2023.».</w:t>
      </w:r>
    </w:p>
    <w:p w14:paraId="2D8DDE44" w14:textId="77777777" w:rsidR="008A457D" w:rsidRPr="00EC14DE" w:rsidRDefault="008A457D" w:rsidP="007C594F">
      <w:pPr>
        <w:widowControl w:val="0"/>
        <w:rPr>
          <w:rFonts w:cs="Times New Roman"/>
        </w:rPr>
      </w:pPr>
      <w:r w:rsidRPr="00EC14DE">
        <w:rPr>
          <w:rFonts w:cs="Times New Roman"/>
        </w:rPr>
        <w:t>2. All’articolo 28, comma 2 del decreto legislativo 14 settembre 2015, n. 148, le parole: «assegno ordinario», sono sostituite dalle seguenti: «assegno di integrazione salariale».</w:t>
      </w:r>
    </w:p>
    <w:p w14:paraId="3694A395" w14:textId="77777777" w:rsidR="008A457D" w:rsidRPr="00EC14DE" w:rsidRDefault="008A457D" w:rsidP="007C594F">
      <w:pPr>
        <w:pStyle w:val="Titolo3"/>
        <w:keepNext w:val="0"/>
        <w:keepLines w:val="0"/>
        <w:widowControl w:val="0"/>
      </w:pPr>
      <w:bookmarkStart w:id="45" w:name="_Toc86301881"/>
      <w:r w:rsidRPr="00EC14DE">
        <w:t xml:space="preserve">ART. </w:t>
      </w:r>
      <w:r w:rsidRPr="00EC14DE">
        <w:fldChar w:fldCharType="begin"/>
      </w:r>
      <w:r w:rsidRPr="00EC14DE">
        <w:instrText xml:space="preserve"> AUTONUM  \* Arabic </w:instrText>
      </w:r>
      <w:r w:rsidRPr="00EC14DE">
        <w:fldChar w:fldCharType="end"/>
      </w:r>
      <w:r w:rsidRPr="00EC14DE">
        <w:br/>
        <w:t>(Fondo di integrazione salariale)</w:t>
      </w:r>
      <w:bookmarkEnd w:id="45"/>
    </w:p>
    <w:p w14:paraId="7F544C8A" w14:textId="77777777" w:rsidR="008A457D" w:rsidRPr="00EC14DE" w:rsidRDefault="008A457D" w:rsidP="007C594F">
      <w:pPr>
        <w:widowControl w:val="0"/>
        <w:rPr>
          <w:rFonts w:cs="Times New Roman"/>
        </w:rPr>
      </w:pPr>
      <w:r w:rsidRPr="00EC14DE">
        <w:rPr>
          <w:rFonts w:cs="Times New Roman"/>
        </w:rPr>
        <w:t xml:space="preserve">1. </w:t>
      </w:r>
      <w:bookmarkStart w:id="46" w:name="_Hlk71200320"/>
      <w:r w:rsidRPr="00EC14DE">
        <w:rPr>
          <w:rFonts w:cs="Times New Roman"/>
        </w:rPr>
        <w:t>All’articolo 29 del decreto legislativo 14 settembre 2015, n. 148, sono apportate le seguenti modificazioni:</w:t>
      </w:r>
      <w:bookmarkEnd w:id="46"/>
    </w:p>
    <w:p w14:paraId="600939ED" w14:textId="77777777" w:rsidR="008A457D" w:rsidRPr="00EC14DE" w:rsidRDefault="008A457D" w:rsidP="007C594F">
      <w:pPr>
        <w:widowControl w:val="0"/>
        <w:rPr>
          <w:rFonts w:cs="Times New Roman"/>
        </w:rPr>
      </w:pPr>
      <w:r w:rsidRPr="00EC14DE">
        <w:rPr>
          <w:rFonts w:cs="Times New Roman"/>
        </w:rPr>
        <w:t>a) dopo il comma 2 è aggiunto il seguente:</w:t>
      </w:r>
    </w:p>
    <w:p w14:paraId="5D00133C" w14:textId="77777777" w:rsidR="008A457D" w:rsidRPr="00EC14DE" w:rsidRDefault="008A457D" w:rsidP="007C594F">
      <w:pPr>
        <w:widowControl w:val="0"/>
        <w:rPr>
          <w:rFonts w:cs="Times New Roman"/>
        </w:rPr>
      </w:pPr>
      <w:r w:rsidRPr="00EC14DE">
        <w:rPr>
          <w:rFonts w:cs="Times New Roman"/>
        </w:rPr>
        <w:t>«2-bis. A decorrere dal 1° gennaio 2022, sono soggetti alla disciplina del fondo di integrazione salariale, i datori di lavoro che occupano almeno un dipendente, appartenenti a settori, tipologie e classi dimensionali non rientranti nell'ambito di applicazione dell’articolo 10 che non aderiscono ai fondi di solidarietà bilaterale costituiti ai sensi degli articoli 26, 27 e 40»;</w:t>
      </w:r>
    </w:p>
    <w:p w14:paraId="66EED257" w14:textId="77777777" w:rsidR="008A457D" w:rsidRPr="00EC14DE" w:rsidRDefault="008A457D" w:rsidP="007C594F">
      <w:pPr>
        <w:widowControl w:val="0"/>
        <w:rPr>
          <w:rFonts w:cs="Times New Roman"/>
        </w:rPr>
      </w:pPr>
      <w:r w:rsidRPr="00EC14DE">
        <w:rPr>
          <w:rFonts w:cs="Times New Roman"/>
        </w:rPr>
        <w:t>b) al comma 3 è aggiunto, infine, il seguente periodo: «Tale comma cessa di trovare applicazione per trattamenti decorrenti dal 1° gennaio 2022.»;</w:t>
      </w:r>
    </w:p>
    <w:p w14:paraId="730842DF" w14:textId="77777777" w:rsidR="008A457D" w:rsidRPr="00EC14DE" w:rsidRDefault="008A457D" w:rsidP="007C594F">
      <w:pPr>
        <w:widowControl w:val="0"/>
        <w:rPr>
          <w:rFonts w:cs="Times New Roman"/>
        </w:rPr>
      </w:pPr>
      <w:r w:rsidRPr="00EC14DE">
        <w:rPr>
          <w:rFonts w:cs="Times New Roman"/>
        </w:rPr>
        <w:t>c) dopo il comma 3 è aggiunto il seguente:</w:t>
      </w:r>
    </w:p>
    <w:p w14:paraId="1EFA5B1A" w14:textId="77777777" w:rsidR="008A457D" w:rsidRPr="00EC14DE" w:rsidRDefault="008A457D" w:rsidP="007C594F">
      <w:pPr>
        <w:widowControl w:val="0"/>
        <w:rPr>
          <w:rFonts w:cs="Times New Roman"/>
        </w:rPr>
      </w:pPr>
      <w:r w:rsidRPr="00EC14DE">
        <w:rPr>
          <w:rFonts w:cs="Times New Roman"/>
        </w:rPr>
        <w:t xml:space="preserve">«3-bis. Per periodi di sospensione o riduzione dell’attività lavorativa decorrenti dal 1° gennaio 2022 l’assegno di integrazione salariale di cui all’articolo 30, comma 1, in relazione alle causali di riduzione o sospensione dell’attività lavorativa previste dalla normativa vigente in materia di integrazioni salariali ordinarie, è riconosciuto per le seguenti durate: </w:t>
      </w:r>
    </w:p>
    <w:p w14:paraId="0585B21D" w14:textId="77777777" w:rsidR="008A457D" w:rsidRPr="00EC14DE" w:rsidRDefault="008A457D" w:rsidP="007C594F">
      <w:pPr>
        <w:pStyle w:val="Paragrafoelenco"/>
        <w:widowControl w:val="0"/>
        <w:spacing w:line="240" w:lineRule="auto"/>
        <w:ind w:left="426"/>
        <w:rPr>
          <w:rFonts w:ascii="Times New Roman" w:hAnsi="Times New Roman" w:cs="Times New Roman"/>
        </w:rPr>
      </w:pPr>
      <w:r w:rsidRPr="00EC14DE">
        <w:rPr>
          <w:rFonts w:ascii="Times New Roman" w:hAnsi="Times New Roman" w:cs="Times New Roman"/>
        </w:rPr>
        <w:t>a) ai datori di lavoro che, nel semestre precedente la data di presentazione della domanda, abbiano occupato mediamente fino a cinque dipendenti, una durata massima di 13 settimane in un biennio mobile;</w:t>
      </w:r>
    </w:p>
    <w:p w14:paraId="750EC8D1" w14:textId="77777777" w:rsidR="008A457D" w:rsidRPr="00EC14DE" w:rsidRDefault="008A457D" w:rsidP="007C594F">
      <w:pPr>
        <w:pStyle w:val="Paragrafoelenco"/>
        <w:widowControl w:val="0"/>
        <w:spacing w:line="240" w:lineRule="auto"/>
        <w:ind w:left="426"/>
        <w:rPr>
          <w:rFonts w:ascii="Times New Roman" w:hAnsi="Times New Roman" w:cs="Times New Roman"/>
        </w:rPr>
      </w:pPr>
      <w:r w:rsidRPr="00EC14DE">
        <w:rPr>
          <w:rFonts w:ascii="Times New Roman" w:hAnsi="Times New Roman" w:cs="Times New Roman"/>
        </w:rPr>
        <w:t>b) ai datori di lavoro che, nel semestre precedente la data di presentazione della domanda, abbiano occupato mediamente più di</w:t>
      </w:r>
      <w:r w:rsidR="001469EF" w:rsidRPr="00EC14DE">
        <w:rPr>
          <w:rFonts w:ascii="Times New Roman" w:hAnsi="Times New Roman" w:cs="Times New Roman"/>
        </w:rPr>
        <w:t xml:space="preserve"> cinque</w:t>
      </w:r>
      <w:r w:rsidRPr="00EC14DE">
        <w:rPr>
          <w:rFonts w:ascii="Times New Roman" w:hAnsi="Times New Roman" w:cs="Times New Roman"/>
        </w:rPr>
        <w:t xml:space="preserve"> dipendenti, una durata massima di 26 settimane in un biennio mobile.»;</w:t>
      </w:r>
    </w:p>
    <w:p w14:paraId="533AE24D" w14:textId="77777777" w:rsidR="008A457D" w:rsidRPr="00EC14DE" w:rsidRDefault="008A457D" w:rsidP="007C594F">
      <w:pPr>
        <w:widowControl w:val="0"/>
        <w:rPr>
          <w:rFonts w:cs="Times New Roman"/>
        </w:rPr>
      </w:pPr>
      <w:r w:rsidRPr="00EC14DE">
        <w:rPr>
          <w:rFonts w:cs="Times New Roman"/>
        </w:rPr>
        <w:t>d) dopo il comma 4 è aggiunto il seguente:</w:t>
      </w:r>
    </w:p>
    <w:p w14:paraId="15087EDD" w14:textId="77777777" w:rsidR="008A457D" w:rsidRPr="00EC14DE" w:rsidRDefault="008A457D" w:rsidP="007C594F">
      <w:pPr>
        <w:widowControl w:val="0"/>
        <w:rPr>
          <w:rFonts w:cs="Times New Roman"/>
        </w:rPr>
      </w:pPr>
      <w:r w:rsidRPr="00EC14DE">
        <w:rPr>
          <w:rFonts w:cs="Times New Roman"/>
        </w:rPr>
        <w:t>«4-bis. Per i trattamenti relativi a periodi di sospensione o riduzione dell’attività lavorativa decorrenti dal 1° gennaio 2022 la disposizione di cui al comma 4, secondo periodo, cessa di trovare applicazione.»;</w:t>
      </w:r>
    </w:p>
    <w:p w14:paraId="01F7A46E" w14:textId="77777777" w:rsidR="008A457D" w:rsidRPr="00EC14DE" w:rsidRDefault="008A457D" w:rsidP="007C594F">
      <w:pPr>
        <w:widowControl w:val="0"/>
        <w:rPr>
          <w:rFonts w:cs="Times New Roman"/>
        </w:rPr>
      </w:pPr>
      <w:r w:rsidRPr="00EC14DE">
        <w:rPr>
          <w:rFonts w:cs="Times New Roman"/>
        </w:rPr>
        <w:t>e) il comma 8 è sostituito dal seguente:</w:t>
      </w:r>
    </w:p>
    <w:p w14:paraId="146BAFA9" w14:textId="77777777" w:rsidR="008A457D" w:rsidRPr="00EC14DE" w:rsidRDefault="008A457D" w:rsidP="007C594F">
      <w:pPr>
        <w:widowControl w:val="0"/>
        <w:rPr>
          <w:rFonts w:cs="Times New Roman"/>
        </w:rPr>
      </w:pPr>
      <w:r w:rsidRPr="00EC14DE">
        <w:rPr>
          <w:rFonts w:cs="Times New Roman"/>
        </w:rPr>
        <w:t>«</w:t>
      </w:r>
      <w:bookmarkStart w:id="47" w:name="_Hlk77184006"/>
      <w:r w:rsidRPr="00EC14DE">
        <w:rPr>
          <w:rFonts w:cs="Times New Roman"/>
        </w:rPr>
        <w:t>8. A decorrere dal 1° gennaio 2022, l'aliquota di finanziamento del fondo è fissata allo 0,50 per cento, per i datori di lavoro che, nel semestre precedente la data di presentazione della domanda, abbiano occupato mediamente fino a cinque dipendenti, al 0,80 per cento, per i datori di lavoro che, nel semestre precedente la data di presentazione della domanda, abbiano occupato mediamente più di cinque dipendenti. È stabilita una contribuzione addizionale a carico dei datori di lavoro connessa all'utilizzo delle prestazioni di cui al comma 3-bis, pari al 4 per cento della retribuzione persa.</w:t>
      </w:r>
      <w:bookmarkEnd w:id="47"/>
      <w:r w:rsidRPr="00EC14DE">
        <w:rPr>
          <w:rFonts w:cs="Times New Roman"/>
        </w:rPr>
        <w:t>»;</w:t>
      </w:r>
    </w:p>
    <w:p w14:paraId="023E9382" w14:textId="77777777" w:rsidR="008A457D" w:rsidRPr="00EC14DE" w:rsidRDefault="008A457D" w:rsidP="007C594F">
      <w:pPr>
        <w:widowControl w:val="0"/>
        <w:rPr>
          <w:rFonts w:cs="Times New Roman"/>
        </w:rPr>
      </w:pPr>
      <w:r w:rsidRPr="00EC14DE">
        <w:rPr>
          <w:rFonts w:cs="Times New Roman"/>
        </w:rPr>
        <w:t>f) dopo il comma 8 è aggiunto il seguente:</w:t>
      </w:r>
    </w:p>
    <w:p w14:paraId="35AD93AE" w14:textId="77777777" w:rsidR="008A457D" w:rsidRPr="00EC14DE" w:rsidRDefault="008A457D" w:rsidP="007C594F">
      <w:pPr>
        <w:widowControl w:val="0"/>
        <w:rPr>
          <w:rFonts w:cs="Times New Roman"/>
        </w:rPr>
      </w:pPr>
      <w:r w:rsidRPr="00EC14DE">
        <w:rPr>
          <w:rFonts w:cs="Times New Roman"/>
        </w:rPr>
        <w:t xml:space="preserve">«8-bis. A decorrere dal 1° gennaio 2025, fermo restando il rispetto di quanto previsto dal comma 4, a favore dei datori di lavoro che, nel semestre precedente la data di presentazione della domanda, abbiano occupato mediamente fino a 5 dipendenti e che non abbiano presentato domanda di assegno integrazione salariale ai sensi del presente articolo per almeno 24 mesi, a far data </w:t>
      </w:r>
      <w:r w:rsidRPr="00EC14DE">
        <w:rPr>
          <w:rFonts w:cs="Times New Roman"/>
          <w:bCs/>
        </w:rPr>
        <w:t>dal termine del periodo di fruizione del trattamento</w:t>
      </w:r>
      <w:r w:rsidRPr="00EC14DE">
        <w:rPr>
          <w:rFonts w:cs="Times New Roman"/>
        </w:rPr>
        <w:t>, l’aliquota di cui al comma 8 si riduce in misura pari al 40%.»;</w:t>
      </w:r>
    </w:p>
    <w:p w14:paraId="5F074F8E" w14:textId="77777777" w:rsidR="008A457D" w:rsidRPr="00EC14DE" w:rsidRDefault="008A457D" w:rsidP="007C594F">
      <w:pPr>
        <w:widowControl w:val="0"/>
        <w:rPr>
          <w:rFonts w:cs="Times New Roman"/>
        </w:rPr>
      </w:pPr>
      <w:r w:rsidRPr="00EC14DE">
        <w:rPr>
          <w:rFonts w:cs="Times New Roman"/>
        </w:rPr>
        <w:t>g) al comma 11 è aggiunto, infine, il seguente periodo: «A decorrere dal 1° gennaio 2022 il presenta comma cessa di trovare applicazione».</w:t>
      </w:r>
    </w:p>
    <w:p w14:paraId="3683E728" w14:textId="77777777" w:rsidR="006F0ED9" w:rsidRPr="00EC14DE" w:rsidRDefault="006F0ED9" w:rsidP="007C594F">
      <w:pPr>
        <w:widowControl w:val="0"/>
        <w:rPr>
          <w:rFonts w:cs="Times New Roman"/>
        </w:rPr>
      </w:pPr>
    </w:p>
    <w:p w14:paraId="7D47CAEF" w14:textId="77777777" w:rsidR="008A457D" w:rsidRPr="00EC14DE" w:rsidRDefault="008A457D" w:rsidP="007C594F">
      <w:pPr>
        <w:pStyle w:val="Titolo3"/>
        <w:keepNext w:val="0"/>
        <w:keepLines w:val="0"/>
        <w:widowControl w:val="0"/>
      </w:pPr>
      <w:bookmarkStart w:id="48" w:name="_Toc86301882"/>
      <w:bookmarkStart w:id="49" w:name="_Hlk74646599"/>
      <w:r w:rsidRPr="00EC14DE">
        <w:t xml:space="preserve">ART. </w:t>
      </w:r>
      <w:r w:rsidRPr="00EC14DE">
        <w:fldChar w:fldCharType="begin"/>
      </w:r>
      <w:r w:rsidRPr="00EC14DE">
        <w:instrText xml:space="preserve"> AUTONUM  \* Arabic </w:instrText>
      </w:r>
      <w:r w:rsidRPr="00EC14DE">
        <w:fldChar w:fldCharType="end"/>
      </w:r>
      <w:r w:rsidRPr="00EC14DE">
        <w:br/>
        <w:t>(Assegno di integrazione salariale)</w:t>
      </w:r>
      <w:bookmarkEnd w:id="48"/>
    </w:p>
    <w:bookmarkEnd w:id="49"/>
    <w:p w14:paraId="4641381F" w14:textId="77777777" w:rsidR="008A457D" w:rsidRPr="00EC14DE" w:rsidRDefault="008A457D" w:rsidP="007C594F">
      <w:pPr>
        <w:widowControl w:val="0"/>
        <w:rPr>
          <w:rFonts w:cs="Times New Roman"/>
        </w:rPr>
      </w:pPr>
      <w:r w:rsidRPr="00EC14DE">
        <w:rPr>
          <w:rFonts w:cs="Times New Roman"/>
        </w:rPr>
        <w:t>1. All’articolo 30 del decreto legislativo 14 settembre 2015, n. 148, sono apportate le seguenti modific</w:t>
      </w:r>
      <w:r w:rsidRPr="00EC14DE">
        <w:rPr>
          <w:rFonts w:cs="Times New Roman"/>
          <w:bCs/>
        </w:rPr>
        <w:t>azioni</w:t>
      </w:r>
      <w:r w:rsidRPr="00EC14DE">
        <w:rPr>
          <w:rFonts w:cs="Times New Roman"/>
        </w:rPr>
        <w:t>:</w:t>
      </w:r>
    </w:p>
    <w:p w14:paraId="4F12DC7F" w14:textId="77777777" w:rsidR="008A457D" w:rsidRPr="00EC14DE" w:rsidRDefault="008A457D" w:rsidP="007C594F">
      <w:pPr>
        <w:widowControl w:val="0"/>
        <w:rPr>
          <w:rFonts w:cs="Times New Roman"/>
        </w:rPr>
      </w:pPr>
      <w:r w:rsidRPr="00EC14DE">
        <w:rPr>
          <w:rFonts w:cs="Times New Roman"/>
        </w:rPr>
        <w:t>a) la rubrica è sostituita dalla seguente: «Assegno di integrazione salariale»;</w:t>
      </w:r>
    </w:p>
    <w:p w14:paraId="21A1C8CF" w14:textId="77777777" w:rsidR="008A457D" w:rsidRPr="00EC14DE" w:rsidRDefault="008A457D" w:rsidP="007C594F">
      <w:pPr>
        <w:widowControl w:val="0"/>
        <w:rPr>
          <w:rFonts w:cs="Times New Roman"/>
        </w:rPr>
      </w:pPr>
      <w:r w:rsidRPr="00EC14DE">
        <w:rPr>
          <w:rFonts w:cs="Times New Roman"/>
        </w:rPr>
        <w:t>b) dopo il comma 1 è aggiunto il seguente:</w:t>
      </w:r>
    </w:p>
    <w:p w14:paraId="56A16A6A" w14:textId="77777777" w:rsidR="008A457D" w:rsidRPr="00EC14DE" w:rsidRDefault="008A457D" w:rsidP="007C594F">
      <w:pPr>
        <w:widowControl w:val="0"/>
        <w:rPr>
          <w:rFonts w:cs="Times New Roman"/>
        </w:rPr>
      </w:pPr>
      <w:r w:rsidRPr="00EC14DE">
        <w:rPr>
          <w:rFonts w:cs="Times New Roman"/>
        </w:rPr>
        <w:t>«</w:t>
      </w:r>
      <w:bookmarkStart w:id="50" w:name="_Hlk83894351"/>
      <w:r w:rsidRPr="00EC14DE">
        <w:rPr>
          <w:rFonts w:cs="Times New Roman"/>
        </w:rPr>
        <w:t>1-bis. Per periodi di sospensione o riduzione dell’attività lavorativa decorrenti dal 1° gennaio 2022, i fondi di cui agli articoli 26, 27 e 40 assicurano, in relazione alle causali previste dalla normativa in materia di integrazioni salariali ordinarie e straordinarie, la prestazione di un assegno di integrazione salariale di importo pari all’art. 3, comma 5-bis e stabiliscono la durata della prestazione in misura almeno pari ai trattamenti di integrazione salariale, a seconda della soglia dimensionale dell’impresa e della causale invocata, e comunque nel rispetto delle durate massime complessive previste dall'articolo 4 comma 1. Entro il 31 dicembre 2022, i fondi già costituiti si adeguano alle disposizioni di cui al presente comma. In mancanza i datori di lavoro, ai soli fini dell’erogazione dei trattamenti di integrazione salariale confluiscono nel fondo di integrazione salariale di cui all'articolo 29, a decorrere dal 1° gennaio 2023</w:t>
      </w:r>
      <w:bookmarkEnd w:id="50"/>
      <w:r w:rsidRPr="00EC14DE">
        <w:rPr>
          <w:rFonts w:cs="Times New Roman"/>
        </w:rPr>
        <w:t>»;</w:t>
      </w:r>
    </w:p>
    <w:p w14:paraId="097C4DB6" w14:textId="77777777" w:rsidR="008A457D" w:rsidRPr="00EC14DE" w:rsidRDefault="008A457D" w:rsidP="007C594F">
      <w:pPr>
        <w:widowControl w:val="0"/>
        <w:rPr>
          <w:rFonts w:cs="Times New Roman"/>
        </w:rPr>
      </w:pPr>
      <w:r w:rsidRPr="00EC14DE">
        <w:rPr>
          <w:rFonts w:cs="Times New Roman"/>
        </w:rPr>
        <w:t>c) al comma 2 le parole: «assegno ordinario» sono sostituite dalle seguenti: «assegno di integrazione salariale».</w:t>
      </w:r>
    </w:p>
    <w:p w14:paraId="00BDF37F" w14:textId="77777777" w:rsidR="008A457D" w:rsidRPr="00EC14DE" w:rsidRDefault="008A457D" w:rsidP="007C594F">
      <w:pPr>
        <w:widowControl w:val="0"/>
        <w:rPr>
          <w:rFonts w:cs="Times New Roman"/>
        </w:rPr>
      </w:pPr>
      <w:r w:rsidRPr="00EC14DE">
        <w:rPr>
          <w:rFonts w:cs="Times New Roman"/>
        </w:rPr>
        <w:t>2. All’articolo 31 del decreto legislativo 14 settembre 2015, n. 148, dopo il comma 7 è aggiunto il seguente:</w:t>
      </w:r>
    </w:p>
    <w:p w14:paraId="12330158" w14:textId="77777777" w:rsidR="008A457D" w:rsidRPr="00EC14DE" w:rsidRDefault="008A457D" w:rsidP="007C594F">
      <w:pPr>
        <w:widowControl w:val="0"/>
        <w:rPr>
          <w:rFonts w:cs="Times New Roman"/>
        </w:rPr>
      </w:pPr>
      <w:r w:rsidRPr="00EC14DE">
        <w:rPr>
          <w:rFonts w:cs="Times New Roman"/>
        </w:rPr>
        <w:t>«7-bis. L’assegno di cui al presente articolo può essere riconosciuto per periodi di sospensione o riduzione dell’attività lavorativa fino al 31 dicembre 2021.».</w:t>
      </w:r>
    </w:p>
    <w:p w14:paraId="49C734E8" w14:textId="77777777" w:rsidR="008A457D" w:rsidRPr="00EC14DE" w:rsidRDefault="008A457D" w:rsidP="007C594F">
      <w:pPr>
        <w:widowControl w:val="0"/>
        <w:rPr>
          <w:rFonts w:cs="Times New Roman"/>
        </w:rPr>
      </w:pPr>
      <w:r w:rsidRPr="00EC14DE">
        <w:rPr>
          <w:rFonts w:cs="Times New Roman"/>
        </w:rPr>
        <w:t>3. All’articolo 33, comma 4, del decreto legislativo 14 settembre 2015, n. 148, dopo le parole: «ai commi da 1 a 3», sono aggiunte le seguenti: «e di cui all’articolo 27».</w:t>
      </w:r>
    </w:p>
    <w:p w14:paraId="7A458680" w14:textId="77777777" w:rsidR="008A457D" w:rsidRPr="00EC14DE" w:rsidRDefault="008A457D" w:rsidP="007C594F">
      <w:pPr>
        <w:widowControl w:val="0"/>
        <w:rPr>
          <w:rFonts w:cs="Times New Roman"/>
        </w:rPr>
      </w:pPr>
      <w:r w:rsidRPr="00EC14DE">
        <w:rPr>
          <w:rFonts w:cs="Times New Roman"/>
        </w:rPr>
        <w:t>4. All’articolo 36, il comma 2, del decreto legislativo 14 settembre 2015, n. 148, è sostituito dal seguente: «2. Il comitato amministratore è composto da esperti in possesso dei requisiti  di professionalità e onorabilità previsti dagli articoli 37 e 38, designati, per i fondi di cui all’articolo 26, dalle organizzazioni sindacali dei datori di lavoro e dei lavoratori stipulanti l'accordo o il contratto collettivo e, per i fondi di cui all’articolo 29, dalle organizzazioni sindacali dei datori di lavoro e dei lavoratori comparativamente più rappresentative sul piano nazionale, in numero complessivamente non superiore a dieci, o nel maggior numero necessario a garantire la rappresentanza di tutte le parti sociali istitutive del fondo, nonché da due rappresentanti, con qualifica di dirigente, rispettivamente del Ministero del lavoro e delle politiche sociali e del Ministero dell'economia e delle finanze e in possesso dei requisiti di onorabilità previsti dall'articolo 38. Ai componenti del comitato non spetta alcun emolumento, indennità o rimborso spese.».</w:t>
      </w:r>
    </w:p>
    <w:p w14:paraId="5845D954" w14:textId="77777777" w:rsidR="008A457D" w:rsidRPr="00EC14DE" w:rsidRDefault="008A457D" w:rsidP="007C594F">
      <w:pPr>
        <w:widowControl w:val="0"/>
        <w:rPr>
          <w:rFonts w:cs="Times New Roman"/>
        </w:rPr>
      </w:pPr>
      <w:r w:rsidRPr="00EC14DE">
        <w:rPr>
          <w:rFonts w:cs="Times New Roman"/>
        </w:rPr>
        <w:t>5. All’articolo 39, del decreto legislativo 14 settembre 2015, n. 148, è aggiunto infine il seguente periodo: «Per i trattamenti relativi a periodi di sospensione o riduzione dell’attività lavorativa decorrenti dal 1° gennaio 2022 ai fondi di cui agli articoli 26, 27, 29 e 40 si applica l’articolo 3, comma 9.».</w:t>
      </w:r>
    </w:p>
    <w:p w14:paraId="0AAF5D09" w14:textId="77777777" w:rsidR="008A457D" w:rsidRPr="00EC14DE" w:rsidRDefault="008A457D" w:rsidP="007C594F">
      <w:pPr>
        <w:pStyle w:val="Titolo3"/>
        <w:keepNext w:val="0"/>
        <w:keepLines w:val="0"/>
        <w:widowControl w:val="0"/>
      </w:pPr>
      <w:bookmarkStart w:id="51" w:name="_Toc86301883"/>
      <w:r w:rsidRPr="00EC14DE">
        <w:t xml:space="preserve">ART. </w:t>
      </w:r>
      <w:r w:rsidRPr="00EC14DE">
        <w:fldChar w:fldCharType="begin"/>
      </w:r>
      <w:r w:rsidRPr="00EC14DE">
        <w:instrText xml:space="preserve"> AUTONUM  \* Arabic </w:instrText>
      </w:r>
      <w:r w:rsidRPr="00EC14DE">
        <w:fldChar w:fldCharType="end"/>
      </w:r>
      <w:r w:rsidRPr="00EC14DE">
        <w:br/>
        <w:t>(Fondo territoriale intersettoriale delle Province autonome di Trento e di Bolzano)</w:t>
      </w:r>
      <w:bookmarkEnd w:id="51"/>
    </w:p>
    <w:p w14:paraId="0490DCDE" w14:textId="77777777" w:rsidR="008A457D" w:rsidRPr="00EC14DE" w:rsidRDefault="008A457D" w:rsidP="007C594F">
      <w:pPr>
        <w:widowControl w:val="0"/>
        <w:rPr>
          <w:rFonts w:cs="Times New Roman"/>
        </w:rPr>
      </w:pPr>
      <w:r w:rsidRPr="00EC14DE">
        <w:rPr>
          <w:rFonts w:cs="Times New Roman"/>
        </w:rPr>
        <w:t>1. All’articolo 40 del decreto legislativo 14 settembre 2015, n. 148, dopo il comma 1 è aggiunto il seguente:</w:t>
      </w:r>
    </w:p>
    <w:p w14:paraId="4475E5C6" w14:textId="77777777" w:rsidR="008A457D" w:rsidRPr="00EC14DE" w:rsidRDefault="008A457D" w:rsidP="007C594F">
      <w:pPr>
        <w:widowControl w:val="0"/>
        <w:rPr>
          <w:rFonts w:cs="Times New Roman"/>
        </w:rPr>
      </w:pPr>
      <w:r w:rsidRPr="00EC14DE">
        <w:rPr>
          <w:rFonts w:cs="Times New Roman"/>
        </w:rPr>
        <w:t>«1-bis. A decorrere dal 1° gennaio 2022, rientrano nei fondi di solidarietà territoriale intersettoriale anche i datori di lavoro che occupano almeno un dipendente. I fondi già costituiti si adeguano alle disposizioni di cui al presente comma entro il 31 dicembre 2022. In mancanza, i datori di lavoro confluiscono, a decorrere dal 1° gennaio 2023, nel fondo di integrazione salariale di cui all'articolo 29 ove vengono trasferiti i contributi già versati o comunque dovuti dai datori di lavoro medesimi.».</w:t>
      </w:r>
    </w:p>
    <w:p w14:paraId="79FCAE73" w14:textId="77777777" w:rsidR="008A457D" w:rsidRPr="00EC14DE" w:rsidRDefault="008A457D" w:rsidP="007C594F">
      <w:pPr>
        <w:pStyle w:val="Titolo3"/>
        <w:keepNext w:val="0"/>
        <w:keepLines w:val="0"/>
        <w:widowControl w:val="0"/>
      </w:pPr>
      <w:bookmarkStart w:id="52" w:name="_Toc86301884"/>
      <w:r w:rsidRPr="00EC14DE">
        <w:t xml:space="preserve">ART. </w:t>
      </w:r>
      <w:r w:rsidRPr="00EC14DE">
        <w:fldChar w:fldCharType="begin"/>
      </w:r>
      <w:r w:rsidRPr="00EC14DE">
        <w:instrText xml:space="preserve"> AUTONUM  \* Arabic </w:instrText>
      </w:r>
      <w:r w:rsidRPr="00EC14DE">
        <w:fldChar w:fldCharType="end"/>
      </w:r>
      <w:r w:rsidRPr="00EC14DE">
        <w:br/>
        <w:t>(Disposizione in materia di rilascio del documento unico di regolarità contributiva)</w:t>
      </w:r>
      <w:bookmarkEnd w:id="52"/>
    </w:p>
    <w:p w14:paraId="6DBD6397" w14:textId="77777777" w:rsidR="008A457D" w:rsidRPr="00EC14DE" w:rsidRDefault="008A457D" w:rsidP="007C594F">
      <w:pPr>
        <w:widowControl w:val="0"/>
        <w:rPr>
          <w:rFonts w:cs="Times New Roman"/>
        </w:rPr>
      </w:pPr>
      <w:r w:rsidRPr="00EC14DE">
        <w:rPr>
          <w:rFonts w:cs="Times New Roman"/>
        </w:rPr>
        <w:t>1. Dopo l’articolo 40 del decreto legislativo 14 settembre 2015, n. 148, sono aggiunti i seguenti articoli:</w:t>
      </w:r>
    </w:p>
    <w:p w14:paraId="15A294C4" w14:textId="77777777" w:rsidR="008A457D" w:rsidRPr="00EC14DE" w:rsidRDefault="008A457D" w:rsidP="007C594F">
      <w:pPr>
        <w:widowControl w:val="0"/>
        <w:jc w:val="center"/>
        <w:rPr>
          <w:rFonts w:cs="Times New Roman"/>
        </w:rPr>
      </w:pPr>
      <w:r w:rsidRPr="00EC14DE">
        <w:rPr>
          <w:rFonts w:cs="Times New Roman"/>
        </w:rPr>
        <w:t>«Art. 40-bis</w:t>
      </w:r>
    </w:p>
    <w:p w14:paraId="1931CEE4" w14:textId="77777777" w:rsidR="008A457D" w:rsidRPr="00EC14DE" w:rsidRDefault="008A457D" w:rsidP="007C594F">
      <w:pPr>
        <w:widowControl w:val="0"/>
        <w:jc w:val="center"/>
        <w:rPr>
          <w:rFonts w:cs="Times New Roman"/>
        </w:rPr>
      </w:pPr>
      <w:r w:rsidRPr="00EC14DE">
        <w:rPr>
          <w:rFonts w:cs="Times New Roman"/>
        </w:rPr>
        <w:t>(Disposizione in materia di rilascio del documento unico di regolarità contributiva)</w:t>
      </w:r>
    </w:p>
    <w:p w14:paraId="26DAB056" w14:textId="77777777" w:rsidR="008A457D" w:rsidRPr="00EC14DE" w:rsidRDefault="008A457D" w:rsidP="007C594F">
      <w:pPr>
        <w:widowControl w:val="0"/>
        <w:rPr>
          <w:rFonts w:cs="Times New Roman"/>
        </w:rPr>
      </w:pPr>
      <w:r w:rsidRPr="00EC14DE">
        <w:rPr>
          <w:rFonts w:cs="Times New Roman"/>
        </w:rPr>
        <w:t>1. A decorrere dal 1° gennaio 2022, la regolarità del versamento dell’aliquota di contribuzione ordinaria ai fondi di solidarietà bilaterali di cui agli articoli 26, 27 e 40, è condizione per il rilascio del documento unico di regolarità contributiva (DURC).</w:t>
      </w:r>
    </w:p>
    <w:p w14:paraId="2EAB8CDD" w14:textId="77777777" w:rsidR="008A457D" w:rsidRPr="00EC14DE" w:rsidRDefault="008A457D" w:rsidP="007C594F">
      <w:pPr>
        <w:pStyle w:val="Titolo3"/>
        <w:keepNext w:val="0"/>
        <w:keepLines w:val="0"/>
        <w:widowControl w:val="0"/>
      </w:pPr>
      <w:bookmarkStart w:id="53" w:name="_Toc86301885"/>
      <w:bookmarkStart w:id="54" w:name="_Hlk71890156"/>
      <w:r w:rsidRPr="00EC14DE">
        <w:t xml:space="preserve">ART. </w:t>
      </w:r>
      <w:r w:rsidRPr="00EC14DE">
        <w:fldChar w:fldCharType="begin"/>
      </w:r>
      <w:r w:rsidRPr="00EC14DE">
        <w:instrText xml:space="preserve"> AUTONUM  \* Arabic </w:instrText>
      </w:r>
      <w:r w:rsidRPr="00EC14DE">
        <w:fldChar w:fldCharType="end"/>
      </w:r>
      <w:r w:rsidRPr="00EC14DE">
        <w:br/>
        <w:t>(Contratto di espansione)</w:t>
      </w:r>
      <w:bookmarkEnd w:id="53"/>
    </w:p>
    <w:p w14:paraId="0647C7EA" w14:textId="77777777" w:rsidR="008A457D" w:rsidRPr="00EC14DE" w:rsidRDefault="008A457D" w:rsidP="007C594F">
      <w:pPr>
        <w:widowControl w:val="0"/>
      </w:pPr>
      <w:r w:rsidRPr="00EC14DE">
        <w:t>1. All’articolo 41 del decreto legislativo 14 settembre 2015, n. 148, sono apportate le seguenti modificazioni:</w:t>
      </w:r>
    </w:p>
    <w:p w14:paraId="0ACD1661" w14:textId="77777777" w:rsidR="008A457D" w:rsidRPr="00EC14DE" w:rsidRDefault="008A457D" w:rsidP="007C594F">
      <w:pPr>
        <w:widowControl w:val="0"/>
      </w:pPr>
      <w:r w:rsidRPr="00EC14DE">
        <w:t>a) Al comma 1 dopo le parole: «In via sperimentale per gli anni 2019, 2020 e 2021, salvo quanto previsto al comma 1-bis», sono aggiunte le seguenti: «, 2022 e 2023</w:t>
      </w:r>
      <w:r w:rsidR="002E107B" w:rsidRPr="00EC14DE">
        <w:t>, salvo quanto previsto al comma 1-ter</w:t>
      </w:r>
      <w:r w:rsidRPr="00EC14DE">
        <w:t>».</w:t>
      </w:r>
    </w:p>
    <w:p w14:paraId="78E04DD1" w14:textId="77777777" w:rsidR="008A457D" w:rsidRPr="00EC14DE" w:rsidRDefault="008A457D" w:rsidP="007C594F">
      <w:pPr>
        <w:widowControl w:val="0"/>
      </w:pPr>
      <w:r w:rsidRPr="00EC14DE">
        <w:t>b) dopo il comma 1-bis è aggiunto il seguente: «1-ter. Per gli anni 2022 e 2023 il limite minimo di unità lavorative in organico di cui al comma 1 non può essere inferiore a cinquanta, anche calcolate complessivamente nelle ipotesi di aggregazione stabile di imprese con un'unica finalità produttiva o di servizi».</w:t>
      </w:r>
    </w:p>
    <w:p w14:paraId="50164F2C" w14:textId="77777777" w:rsidR="008A457D" w:rsidRPr="00EC14DE" w:rsidRDefault="008A457D" w:rsidP="007C594F">
      <w:pPr>
        <w:widowControl w:val="0"/>
      </w:pPr>
      <w:r w:rsidRPr="00EC14DE">
        <w:t xml:space="preserve">c) Al comma 5-bis è aggiunto, infine, il seguente periodo: «Per gli accordi stipulati dal 1° gennaio 2022 i benefici di cui al presente comma sono riconosciuti nel </w:t>
      </w:r>
      <w:r w:rsidR="00820060" w:rsidRPr="00EC14DE">
        <w:t>limite di spesa di 80,4 milioni di euro per l’anno 2022, 219,6 milioni di euro per l’anno 2023, 264,2 milioni di euro per l’anno 2024, 173,6 milioni di euro per l’anno 2025 e 48,4 milioni di euro per l’anno 2026</w:t>
      </w:r>
      <w:r w:rsidR="00E2374B" w:rsidRPr="00EC14DE">
        <w:t>»;</w:t>
      </w:r>
    </w:p>
    <w:p w14:paraId="02E83BC1" w14:textId="77777777" w:rsidR="008A457D" w:rsidRPr="00EC14DE" w:rsidRDefault="008A457D" w:rsidP="007C594F">
      <w:pPr>
        <w:widowControl w:val="0"/>
      </w:pPr>
      <w:r w:rsidRPr="00EC14DE">
        <w:t xml:space="preserve">d) al comma 7 le parole “entro il limite complessivo di spesa di 15,7 milioni di euro per l'anno 2019, di 31,8 milioni di euro per l'anno 2020, di 101 milioni di euro per l'anno 2021 e di 102 milioni di euro per l'anno 2022” sono sostituite dalle seguenti: “entro il limite complessivo di spesa di 15,7 milioni di euro per l'anno 2019, di 31,8 milioni di euro per l'anno 2020, di 101 milioni di euro per l'anno 2021, </w:t>
      </w:r>
      <w:r w:rsidR="00820060" w:rsidRPr="00EC14DE">
        <w:t>di 256,6 milioni di euro per l'anno 2022, di 469,0 milioni di euro per l’anno 2023, e di 317,1 milion</w:t>
      </w:r>
      <w:r w:rsidR="00E2374B" w:rsidRPr="00EC14DE">
        <w:t>e</w:t>
      </w:r>
      <w:r w:rsidR="00820060" w:rsidRPr="00EC14DE">
        <w:t xml:space="preserve"> di euro per l’anno 2024</w:t>
      </w:r>
      <w:r w:rsidRPr="00EC14DE">
        <w:t>”</w:t>
      </w:r>
      <w:r w:rsidR="00E2374B" w:rsidRPr="00EC14DE">
        <w:t>.</w:t>
      </w:r>
    </w:p>
    <w:p w14:paraId="22491CC1" w14:textId="77777777" w:rsidR="008A457D" w:rsidRPr="00EC14DE" w:rsidRDefault="008A457D" w:rsidP="007C594F">
      <w:pPr>
        <w:pStyle w:val="Titolo3"/>
        <w:keepNext w:val="0"/>
        <w:keepLines w:val="0"/>
        <w:widowControl w:val="0"/>
      </w:pPr>
      <w:bookmarkStart w:id="55" w:name="_Toc86301886"/>
      <w:bookmarkEnd w:id="54"/>
      <w:r w:rsidRPr="00EC14DE">
        <w:t xml:space="preserve">ART. </w:t>
      </w:r>
      <w:r w:rsidRPr="00EC14DE">
        <w:fldChar w:fldCharType="begin"/>
      </w:r>
      <w:r w:rsidRPr="00EC14DE">
        <w:instrText xml:space="preserve"> AUTONUM  \* Arabic </w:instrText>
      </w:r>
      <w:r w:rsidRPr="00EC14DE">
        <w:fldChar w:fldCharType="end"/>
      </w:r>
      <w:r w:rsidRPr="00EC14DE">
        <w:br/>
        <w:t>(Disposizioni transitorie)</w:t>
      </w:r>
      <w:bookmarkEnd w:id="55"/>
    </w:p>
    <w:p w14:paraId="69E0D016" w14:textId="77777777" w:rsidR="008A457D" w:rsidRPr="00EC14DE" w:rsidRDefault="008A457D" w:rsidP="007C594F">
      <w:pPr>
        <w:widowControl w:val="0"/>
        <w:rPr>
          <w:rFonts w:cs="Times New Roman"/>
        </w:rPr>
      </w:pPr>
      <w:r w:rsidRPr="00EC14DE">
        <w:rPr>
          <w:rFonts w:cs="Times New Roman"/>
        </w:rPr>
        <w:t>1. All’articolo 44, del decreto legislativo 14 settembre 2015, n. 148, dopo il comma 11-bis sono aggiunti i seguenti:</w:t>
      </w:r>
    </w:p>
    <w:p w14:paraId="709BC0C5" w14:textId="77777777" w:rsidR="008A457D" w:rsidRPr="00EC14DE" w:rsidRDefault="008A457D" w:rsidP="007C594F">
      <w:pPr>
        <w:widowControl w:val="0"/>
        <w:rPr>
          <w:rFonts w:cs="Times New Roman"/>
        </w:rPr>
      </w:pPr>
      <w:bookmarkStart w:id="56" w:name="_Hlk85471696"/>
      <w:r w:rsidRPr="00EC14DE">
        <w:rPr>
          <w:rFonts w:cs="Times New Roman"/>
        </w:rPr>
        <w:t>11-ter. Per fronteggiare nel biennio 2022-2023 processi di riorganizzazione e situazioni di particolare difficoltà economica, ai datori di lavoro di cui all’articolo 20 che non possono più ricorrere ai trattamenti di straordinari integrazione salariale, è riconosciuto, in deroga agli articoli 4 e 22, nel limite di spesa di 150 milioni di euro  per  l'anno 2022 e 150 milioni di euro per l’anno 2023, un  trattamento  straordinario  di  integrazione salariale per un massimo di cinquantadue settimane fruibili fino al 31 dicembre 2023. L'INPS provvede al monitoraggio del rispetto del limite di spesa di cui al primo periodo del presente comma.  Qualora dal predetto monitoraggio emerga il raggiungimento, anche in via prospettica, del predetto limite di spesa, l’INPS non prende in considerazione ulteriori domande.</w:t>
      </w:r>
    </w:p>
    <w:bookmarkEnd w:id="56"/>
    <w:p w14:paraId="223F2B2C" w14:textId="77777777" w:rsidR="008A457D" w:rsidRPr="00EC14DE" w:rsidRDefault="008A457D" w:rsidP="007C594F">
      <w:pPr>
        <w:widowControl w:val="0"/>
        <w:rPr>
          <w:rFonts w:cs="Times New Roman"/>
        </w:rPr>
      </w:pPr>
      <w:r w:rsidRPr="00EC14DE">
        <w:rPr>
          <w:rFonts w:cs="Times New Roman"/>
        </w:rPr>
        <w:t>11-quater. Per i fondi bilaterali di cui all’articolo 26 costituiti nel periodo compreso fra il 1° gennaio 2020 e il 31 dicembre 2021, il termine di adeguamento di cui all’articolo 30, comma 1-</w:t>
      </w:r>
      <w:r w:rsidRPr="00EC14DE">
        <w:rPr>
          <w:rFonts w:cs="Times New Roman"/>
          <w:i/>
        </w:rPr>
        <w:t>bis</w:t>
      </w:r>
      <w:r w:rsidRPr="00EC14DE">
        <w:rPr>
          <w:rFonts w:cs="Times New Roman"/>
        </w:rPr>
        <w:t xml:space="preserve"> è fissato al 30 giugno 2023.».</w:t>
      </w:r>
    </w:p>
    <w:p w14:paraId="6C67F626" w14:textId="77777777" w:rsidR="008A457D" w:rsidRPr="00EC14DE" w:rsidRDefault="008A457D" w:rsidP="007C594F">
      <w:pPr>
        <w:pStyle w:val="Titolo3"/>
        <w:keepNext w:val="0"/>
        <w:keepLines w:val="0"/>
        <w:widowControl w:val="0"/>
      </w:pPr>
      <w:bookmarkStart w:id="57" w:name="_Toc86301887"/>
      <w:r w:rsidRPr="00EC14DE">
        <w:t xml:space="preserve">ART. </w:t>
      </w:r>
      <w:r w:rsidRPr="00EC14DE">
        <w:fldChar w:fldCharType="begin"/>
      </w:r>
      <w:r w:rsidRPr="00EC14DE">
        <w:instrText xml:space="preserve"> AUTONUM  \* Arabic </w:instrText>
      </w:r>
      <w:r w:rsidRPr="00EC14DE">
        <w:fldChar w:fldCharType="end"/>
      </w:r>
      <w:r w:rsidRPr="00EC14DE">
        <w:br/>
        <w:t>(</w:t>
      </w:r>
      <w:r w:rsidR="009251A1" w:rsidRPr="00EC14DE">
        <w:t xml:space="preserve">Estensione della </w:t>
      </w:r>
      <w:r w:rsidRPr="00EC14DE">
        <w:t>CISOA</w:t>
      </w:r>
      <w:r w:rsidR="009251A1" w:rsidRPr="00EC14DE">
        <w:t xml:space="preserve"> ai</w:t>
      </w:r>
      <w:r w:rsidRPr="00EC14DE">
        <w:t xml:space="preserve"> lavoratori della pesca e della piccola pesca)</w:t>
      </w:r>
      <w:bookmarkEnd w:id="57"/>
    </w:p>
    <w:p w14:paraId="6B5AEE5D" w14:textId="77777777" w:rsidR="008A457D" w:rsidRPr="00EC14DE" w:rsidRDefault="008A457D" w:rsidP="007C594F">
      <w:pPr>
        <w:widowControl w:val="0"/>
        <w:rPr>
          <w:rFonts w:cs="Times New Roman"/>
        </w:rPr>
      </w:pPr>
      <w:r w:rsidRPr="00EC14DE">
        <w:rPr>
          <w:rFonts w:cs="Times New Roman"/>
        </w:rPr>
        <w:t>1. All’articolo 8 della legge 8 agosto del 1972, n. 457, dopo il comma 3 è aggiunto il seguente:</w:t>
      </w:r>
    </w:p>
    <w:p w14:paraId="1A77489E" w14:textId="77777777" w:rsidR="008A457D" w:rsidRPr="00EC14DE" w:rsidRDefault="008A457D" w:rsidP="007C594F">
      <w:pPr>
        <w:widowControl w:val="0"/>
        <w:rPr>
          <w:rFonts w:cs="Times New Roman"/>
        </w:rPr>
      </w:pPr>
      <w:r w:rsidRPr="00EC14DE">
        <w:rPr>
          <w:rFonts w:cs="Times New Roman"/>
        </w:rPr>
        <w:t>«4. A decorrere dal 1° gennaio 2022, il trattamento di cui al comma 1 è riconosciuto anche ai lavoratori dipendenti imbarcati su navi adibite alla pesca marittima nonché in acque interne e lagunari, ivi compresi i soci-lavoratori di cooperative della piccola pesca di cui alla legge 13 marzo 1958, n. 250, nonché agli armatori e ai proprietari armatori, imbarcati sulla nave dai medesimi gestita,  per periodi diversi da quelli di sospensione dell’attività lavorativa derivante da misure di arresto temporaneo obbligatorio e non obbligatorio.».</w:t>
      </w:r>
    </w:p>
    <w:p w14:paraId="6D299F5A" w14:textId="77777777" w:rsidR="008A457D" w:rsidRPr="00EC14DE" w:rsidRDefault="008A457D" w:rsidP="007C594F">
      <w:pPr>
        <w:widowControl w:val="0"/>
        <w:rPr>
          <w:rFonts w:cs="Times New Roman"/>
        </w:rPr>
      </w:pPr>
      <w:r w:rsidRPr="00EC14DE">
        <w:rPr>
          <w:rFonts w:cs="Times New Roman"/>
        </w:rPr>
        <w:t>1. Dopo l’articolo 8 della legge 8 agosto 1972, n. 457 è aggiunto il seguente art. 8-bis:</w:t>
      </w:r>
    </w:p>
    <w:p w14:paraId="70D3243F" w14:textId="77777777" w:rsidR="008A457D" w:rsidRPr="00EC14DE" w:rsidRDefault="008A457D" w:rsidP="007C594F">
      <w:pPr>
        <w:widowControl w:val="0"/>
        <w:rPr>
          <w:rFonts w:cs="Times New Roman"/>
        </w:rPr>
      </w:pPr>
      <w:r w:rsidRPr="00EC14DE">
        <w:rPr>
          <w:rFonts w:cs="Times New Roman"/>
        </w:rPr>
        <w:t>«Art. 8-bis.</w:t>
      </w:r>
      <w:r w:rsidRPr="00EC14DE">
        <w:rPr>
          <w:rFonts w:cs="Times New Roman"/>
          <w:i/>
        </w:rPr>
        <w:t xml:space="preserve"> </w:t>
      </w:r>
      <w:r w:rsidRPr="00EC14DE">
        <w:rPr>
          <w:rFonts w:cs="Times New Roman"/>
        </w:rPr>
        <w:t>Il conguaglio o la richiesta di rimborso degli importi dei trattamenti di integrazione salariale corrisposti dai datori di lavoro ai lavoratori agricoli a tempo indeterminato devono essere effettuati, a pena di decadenza, entro sei mesi dalla fine del periodo di paga in corso alla scadenza del termine di durata della concessione o dalla data del provvedimento di concessione se successivo.».</w:t>
      </w:r>
    </w:p>
    <w:p w14:paraId="6F227C18" w14:textId="77777777" w:rsidR="008A457D" w:rsidRPr="00EC14DE" w:rsidRDefault="008A457D" w:rsidP="007C594F">
      <w:pPr>
        <w:pStyle w:val="Titolo3"/>
        <w:keepNext w:val="0"/>
        <w:keepLines w:val="0"/>
        <w:widowControl w:val="0"/>
      </w:pPr>
      <w:bookmarkStart w:id="58" w:name="_Toc86301888"/>
      <w:r w:rsidRPr="00EC14DE">
        <w:t xml:space="preserve">ART. </w:t>
      </w:r>
      <w:r w:rsidRPr="00EC14DE">
        <w:fldChar w:fldCharType="begin"/>
      </w:r>
      <w:r w:rsidRPr="00EC14DE">
        <w:instrText xml:space="preserve"> AUTONUM  \* Arabic </w:instrText>
      </w:r>
      <w:r w:rsidRPr="00EC14DE">
        <w:fldChar w:fldCharType="end"/>
      </w:r>
      <w:r w:rsidRPr="00EC14DE">
        <w:br/>
        <w:t>(Disposizioni transitorie di sostegno alle imprese)</w:t>
      </w:r>
      <w:bookmarkEnd w:id="58"/>
    </w:p>
    <w:p w14:paraId="18FFA4A0" w14:textId="77777777" w:rsidR="008A457D" w:rsidRPr="00EC14DE" w:rsidRDefault="008A457D" w:rsidP="007C594F">
      <w:pPr>
        <w:widowControl w:val="0"/>
        <w:rPr>
          <w:rFonts w:cs="Times New Roman"/>
        </w:rPr>
      </w:pPr>
      <w:r w:rsidRPr="00EC14DE">
        <w:rPr>
          <w:rFonts w:cs="Times New Roman"/>
        </w:rPr>
        <w:t xml:space="preserve">1. A decorrere dalla competenza del periodo di paga di gennaio 2022 e fino alla scadenza della competenza del periodo di paga di dicembre 2022 l’aliquota di finanziamento di cui al comma 8 dell’articolo 29 del decreto legislativo 14 settembre 2015, n. 148, come modificato dalla presente </w:t>
      </w:r>
      <w:r w:rsidR="002F6106" w:rsidRPr="00EC14DE">
        <w:rPr>
          <w:rFonts w:cs="Times New Roman"/>
        </w:rPr>
        <w:t>legge</w:t>
      </w:r>
      <w:r w:rsidRPr="00EC14DE">
        <w:rPr>
          <w:rFonts w:cs="Times New Roman"/>
        </w:rPr>
        <w:t>, è ridotta di:</w:t>
      </w:r>
    </w:p>
    <w:p w14:paraId="225B4400" w14:textId="77777777" w:rsidR="008A457D" w:rsidRPr="00EC14DE" w:rsidRDefault="008A457D" w:rsidP="007C594F">
      <w:pPr>
        <w:widowControl w:val="0"/>
        <w:rPr>
          <w:rFonts w:cs="Times New Roman"/>
        </w:rPr>
      </w:pPr>
      <w:r w:rsidRPr="00EC14DE">
        <w:rPr>
          <w:rFonts w:cs="Times New Roman"/>
        </w:rPr>
        <w:t>a) 0,350 punti percentuali per i datori di lavoro che, nel semestre precedente la data di presentazione della domanda, abbiano occupato mediamente fino a cinque dipendenti;</w:t>
      </w:r>
    </w:p>
    <w:p w14:paraId="224C7E7B" w14:textId="77777777" w:rsidR="008A457D" w:rsidRPr="00EC14DE" w:rsidRDefault="008A457D" w:rsidP="007C594F">
      <w:pPr>
        <w:widowControl w:val="0"/>
        <w:rPr>
          <w:rFonts w:cs="Times New Roman"/>
        </w:rPr>
      </w:pPr>
      <w:r w:rsidRPr="00EC14DE">
        <w:rPr>
          <w:rFonts w:cs="Times New Roman"/>
        </w:rPr>
        <w:t>b) 0,250 punti percentuali per i datori di lavoro che, nel semestre precedente la data di presentazione della domanda, abbiano occupato mediamente più di cinque dipendenti e fino a quindici dipendenti;</w:t>
      </w:r>
    </w:p>
    <w:p w14:paraId="6B9CFD49" w14:textId="77777777" w:rsidR="008A457D" w:rsidRPr="00EC14DE" w:rsidRDefault="008A457D" w:rsidP="007C594F">
      <w:pPr>
        <w:widowControl w:val="0"/>
        <w:rPr>
          <w:rFonts w:cs="Times New Roman"/>
        </w:rPr>
      </w:pPr>
      <w:r w:rsidRPr="00EC14DE">
        <w:rPr>
          <w:rFonts w:cs="Times New Roman"/>
        </w:rPr>
        <w:t>c) 0,110 punti percentuali per i datori di lavoro che, nel semestre precedente la data di presentazione della domanda, abbiano occupato mediamente più di quindici dipendenti;</w:t>
      </w:r>
    </w:p>
    <w:p w14:paraId="00ADDA1A" w14:textId="77777777" w:rsidR="008A457D" w:rsidRPr="00EC14DE" w:rsidRDefault="008A457D" w:rsidP="007C594F">
      <w:pPr>
        <w:widowControl w:val="0"/>
        <w:rPr>
          <w:rFonts w:cs="Times New Roman"/>
        </w:rPr>
      </w:pPr>
      <w:r w:rsidRPr="00EC14DE">
        <w:rPr>
          <w:rFonts w:cs="Times New Roman"/>
        </w:rPr>
        <w:t>d) 0,560 punti percentuali per le imprese esercenti attività commerciali, comprese quelle della logistica e le agenzie di viaggio e turismo, compresi gli operatori turistici che, nel semestre precedente la data di presentazione della domanda, abbiano occupato mediamente più di cinquanta dipendenti;</w:t>
      </w:r>
    </w:p>
    <w:p w14:paraId="2894BF3C" w14:textId="77777777" w:rsidR="008A457D" w:rsidRPr="00EC14DE" w:rsidRDefault="008A457D" w:rsidP="007C594F">
      <w:pPr>
        <w:widowControl w:val="0"/>
        <w:rPr>
          <w:rFonts w:cs="Times New Roman"/>
        </w:rPr>
      </w:pPr>
      <w:r w:rsidRPr="00EC14DE">
        <w:rPr>
          <w:rFonts w:cs="Times New Roman"/>
        </w:rPr>
        <w:t xml:space="preserve">2. A decorrere dalla competenza del periodo di paga di gennaio 2022 e fino alla scadenza della competenza del periodo di paga di dicembre 2022 l’aliquota di finanziamento di cui al comma 1-bis dell’art. 23 del decreto legislativo 14 settembre 2015, n. 148, come modificato dalla presente </w:t>
      </w:r>
      <w:r w:rsidR="006E2B9D" w:rsidRPr="00EC14DE">
        <w:rPr>
          <w:rFonts w:cs="Times New Roman"/>
        </w:rPr>
        <w:t>legg</w:t>
      </w:r>
      <w:r w:rsidRPr="00EC14DE">
        <w:rPr>
          <w:rFonts w:cs="Times New Roman"/>
        </w:rPr>
        <w:t>e, è ridotta di 0,630 punti percentuali per i datori di lavoro di cui alla lettera c)</w:t>
      </w:r>
      <w:r w:rsidR="006E2B9D" w:rsidRPr="00EC14DE">
        <w:rPr>
          <w:rFonts w:cs="Times New Roman"/>
        </w:rPr>
        <w:t xml:space="preserve"> del comma 1 </w:t>
      </w:r>
      <w:r w:rsidRPr="00EC14DE">
        <w:rPr>
          <w:rFonts w:cs="Times New Roman"/>
        </w:rPr>
        <w:t xml:space="preserve">del presente articolo. </w:t>
      </w:r>
    </w:p>
    <w:p w14:paraId="6D792594" w14:textId="77777777" w:rsidR="00136278" w:rsidRPr="00EC14DE" w:rsidRDefault="00136278" w:rsidP="007C594F">
      <w:pPr>
        <w:pStyle w:val="Titolo2"/>
        <w:rPr>
          <w:szCs w:val="22"/>
        </w:rPr>
      </w:pPr>
      <w:bookmarkStart w:id="59" w:name="_Toc86301889"/>
      <w:r w:rsidRPr="00EC14DE">
        <w:t>Capo II</w:t>
      </w:r>
      <w:r w:rsidRPr="00EC14DE">
        <w:br/>
      </w:r>
      <w:r w:rsidRPr="00EC14DE">
        <w:rPr>
          <w:szCs w:val="22"/>
        </w:rPr>
        <w:t>Ammortizzatori sociali in caso di disoccupazione involontaria</w:t>
      </w:r>
      <w:bookmarkEnd w:id="59"/>
    </w:p>
    <w:p w14:paraId="5BA3A0BA" w14:textId="77777777" w:rsidR="00136278" w:rsidRPr="00EC14DE" w:rsidRDefault="00136278" w:rsidP="007C594F">
      <w:pPr>
        <w:pStyle w:val="Titolo3"/>
        <w:keepNext w:val="0"/>
        <w:keepLines w:val="0"/>
        <w:widowControl w:val="0"/>
      </w:pPr>
      <w:bookmarkStart w:id="60" w:name="_Toc86301890"/>
      <w:r w:rsidRPr="00EC14DE">
        <w:t xml:space="preserve">ART. </w:t>
      </w:r>
      <w:r w:rsidRPr="00EC14DE">
        <w:fldChar w:fldCharType="begin"/>
      </w:r>
      <w:r w:rsidRPr="00EC14DE">
        <w:instrText xml:space="preserve"> AUTONUM  \* Arabic </w:instrText>
      </w:r>
      <w:r w:rsidRPr="00EC14DE">
        <w:fldChar w:fldCharType="end"/>
      </w:r>
      <w:r w:rsidRPr="00EC14DE">
        <w:br/>
        <w:t>(</w:t>
      </w:r>
      <w:r w:rsidR="009C75C9" w:rsidRPr="00EC14DE">
        <w:t>Nuova prestazione di Assicurazione Sociale per l'Impiego - NASpI</w:t>
      </w:r>
      <w:r w:rsidRPr="00EC14DE">
        <w:t>)</w:t>
      </w:r>
      <w:bookmarkEnd w:id="60"/>
    </w:p>
    <w:p w14:paraId="2F59EED7" w14:textId="77777777" w:rsidR="00136278" w:rsidRPr="00EC14DE" w:rsidRDefault="00136278" w:rsidP="007C594F">
      <w:pPr>
        <w:widowControl w:val="0"/>
        <w:rPr>
          <w:rFonts w:cs="Times New Roman"/>
        </w:rPr>
      </w:pPr>
      <w:r w:rsidRPr="00EC14DE">
        <w:rPr>
          <w:rFonts w:cs="Times New Roman"/>
        </w:rPr>
        <w:t>1. Al decreto legislativo 4 marzo 2015, n. 22 sono apportate le seguenti modificazioni:</w:t>
      </w:r>
    </w:p>
    <w:p w14:paraId="282C7DD5" w14:textId="77777777" w:rsidR="00136278" w:rsidRPr="00EC14DE" w:rsidRDefault="00136278" w:rsidP="007C594F">
      <w:pPr>
        <w:widowControl w:val="0"/>
        <w:rPr>
          <w:rFonts w:cs="Times New Roman"/>
        </w:rPr>
      </w:pPr>
      <w:r w:rsidRPr="00EC14DE">
        <w:rPr>
          <w:rFonts w:cs="Times New Roman"/>
        </w:rPr>
        <w:t>a) all’articolo 2, comma 1 è aggiunto, infine, il seguente periodo: «A decorrere dal 1° gennaio 2022 sono destinatari della NASPI anche gli operai agricoli a tempo indeterminato delle cooperative e loro consorzi che trasformano, manipolano e commercializzano prodotti agricoli e zootecnici prevalentemente propri o conferiti dai loro soci di cui alla legge 15 giugno 1984, n. 240.»</w:t>
      </w:r>
    </w:p>
    <w:p w14:paraId="4DE4120B" w14:textId="77777777" w:rsidR="00136278" w:rsidRPr="00EC14DE" w:rsidRDefault="00136278" w:rsidP="007C594F">
      <w:pPr>
        <w:widowControl w:val="0"/>
        <w:rPr>
          <w:rFonts w:cs="Times New Roman"/>
        </w:rPr>
      </w:pPr>
      <w:r w:rsidRPr="00EC14DE">
        <w:rPr>
          <w:rFonts w:cs="Times New Roman"/>
        </w:rPr>
        <w:t>b) All’articolo 3, dopo il comma 1 è inserito il seguente: «1-bis. Il requisito di cui al comma 1, lettera c), cessa di trovare applicazione con riferimento agli eventi di disoccupazione verificatisi dal 1°gennaio 2022.».</w:t>
      </w:r>
    </w:p>
    <w:p w14:paraId="41951CA4" w14:textId="77777777" w:rsidR="00136278" w:rsidRPr="00EC14DE" w:rsidRDefault="00136278" w:rsidP="007C594F">
      <w:pPr>
        <w:widowControl w:val="0"/>
        <w:rPr>
          <w:rFonts w:cs="Times New Roman"/>
        </w:rPr>
      </w:pPr>
      <w:r w:rsidRPr="00EC14DE">
        <w:rPr>
          <w:rFonts w:cs="Times New Roman"/>
        </w:rPr>
        <w:t>c) All’articolo 4, comma 3, è aggiunto in fine il seguente periodo: «Con riferimento agli eventi di disoccupazione verificatisi dal 1°gennaio 2022, la NASpI si riduce del 3 per cento ogni mese a decorrere dal primo giorno del sesto mese di fruizione; tale riduzione decorre dal primo giorno dell’ottavo mese di fruizione per i beneficiari di NASpI che abbiano compiuto il cinquantacinquesimo anno di età alla data di presentazione della domanda.»</w:t>
      </w:r>
      <w:bookmarkStart w:id="61" w:name="_Hlk71640201"/>
      <w:r w:rsidRPr="00EC14DE">
        <w:rPr>
          <w:rFonts w:cs="Times New Roman"/>
        </w:rPr>
        <w:t>.</w:t>
      </w:r>
    </w:p>
    <w:bookmarkEnd w:id="61"/>
    <w:p w14:paraId="1078A7F5" w14:textId="77777777" w:rsidR="00136278" w:rsidRPr="00EC14DE" w:rsidRDefault="00136278" w:rsidP="007C594F">
      <w:pPr>
        <w:widowControl w:val="0"/>
        <w:rPr>
          <w:rFonts w:cs="Times New Roman"/>
        </w:rPr>
      </w:pPr>
      <w:r w:rsidRPr="00EC14DE">
        <w:rPr>
          <w:rFonts w:cs="Times New Roman"/>
        </w:rPr>
        <w:t>2. All’articolo 3, comma 1, della legge 15 giugno 1984, n. 240, dopo le parole: «ordinaria e straordinaria», sono aggiunte le seguenti: «, alla indennità di disoccupazione NASpI».</w:t>
      </w:r>
    </w:p>
    <w:p w14:paraId="7FD01673" w14:textId="77777777" w:rsidR="00136278" w:rsidRPr="00EC14DE" w:rsidRDefault="00136278" w:rsidP="007C594F">
      <w:pPr>
        <w:pStyle w:val="Titolo3"/>
        <w:keepNext w:val="0"/>
        <w:keepLines w:val="0"/>
        <w:widowControl w:val="0"/>
      </w:pPr>
      <w:bookmarkStart w:id="62" w:name="_Toc86301891"/>
      <w:r w:rsidRPr="00EC14DE">
        <w:t xml:space="preserve">ART. </w:t>
      </w:r>
      <w:r w:rsidRPr="00EC14DE">
        <w:fldChar w:fldCharType="begin"/>
      </w:r>
      <w:r w:rsidRPr="00EC14DE">
        <w:instrText xml:space="preserve"> AUTONUM  \* Arabic </w:instrText>
      </w:r>
      <w:r w:rsidRPr="00EC14DE">
        <w:fldChar w:fldCharType="end"/>
      </w:r>
      <w:r w:rsidRPr="00EC14DE">
        <w:br/>
      </w:r>
      <w:r w:rsidR="00FA2F09" w:rsidRPr="00EC14DE">
        <w:t xml:space="preserve">(Indennità di disoccupazione </w:t>
      </w:r>
      <w:r w:rsidR="00254A1E" w:rsidRPr="00EC14DE">
        <w:t xml:space="preserve">per i lavoratori con rapporto di </w:t>
      </w:r>
      <w:r w:rsidR="00FA2F09" w:rsidRPr="00EC14DE">
        <w:t>collabora</w:t>
      </w:r>
      <w:r w:rsidR="00254A1E" w:rsidRPr="00EC14DE">
        <w:t xml:space="preserve">zione </w:t>
      </w:r>
      <w:r w:rsidR="00FA2F09" w:rsidRPr="00EC14DE">
        <w:t>coordinat</w:t>
      </w:r>
      <w:r w:rsidR="00254A1E" w:rsidRPr="00EC14DE">
        <w:t>a</w:t>
      </w:r>
      <w:r w:rsidR="00FA2F09" w:rsidRPr="00EC14DE">
        <w:t xml:space="preserve"> e continuativ</w:t>
      </w:r>
      <w:r w:rsidR="00254A1E" w:rsidRPr="00EC14DE">
        <w:t>a</w:t>
      </w:r>
      <w:r w:rsidR="00FA2F09" w:rsidRPr="00EC14DE">
        <w:t xml:space="preserve"> - DIS-COLL</w:t>
      </w:r>
      <w:r w:rsidRPr="00EC14DE">
        <w:t>)</w:t>
      </w:r>
      <w:bookmarkEnd w:id="62"/>
    </w:p>
    <w:p w14:paraId="6CFA3FAC" w14:textId="77777777" w:rsidR="00136278" w:rsidRPr="00EC14DE" w:rsidRDefault="00136278" w:rsidP="007C594F">
      <w:pPr>
        <w:widowControl w:val="0"/>
        <w:rPr>
          <w:rFonts w:cs="Times New Roman"/>
        </w:rPr>
      </w:pPr>
      <w:r w:rsidRPr="00EC14DE">
        <w:rPr>
          <w:rFonts w:cs="Times New Roman"/>
        </w:rPr>
        <w:t>1. All’articolo 15 del decreto legislativo 4 marzo 2015, n. 22 dopo il comma 15-quater è aggiunto il seguente:</w:t>
      </w:r>
    </w:p>
    <w:p w14:paraId="57699A1A" w14:textId="77777777" w:rsidR="00136278" w:rsidRPr="00EC14DE" w:rsidRDefault="00136278" w:rsidP="007C594F">
      <w:pPr>
        <w:widowControl w:val="0"/>
        <w:rPr>
          <w:rFonts w:cs="Times New Roman"/>
        </w:rPr>
      </w:pPr>
      <w:r w:rsidRPr="00EC14DE">
        <w:rPr>
          <w:rFonts w:cs="Times New Roman"/>
        </w:rPr>
        <w:t>«15-quinquies. In relazione agli eventi di disoccupazione verificatisi dal 1°gennaio 2022 la DIS-COLL si riduce del 3 per cento ogni mese a decorrere dal primo giorno del sesto mese di fruizione ed è corrisposta mensilmente per un numero di mesi pari ai mesi di contribuzione accreditati nel periodo che va dal primo gennaio dell'anno precedente l'evento di cessazione del lavoro al predetto evento. Ai fini della durata non sono computati i periodi contributivi che hanno già dato luogo ad erogazione della prestazione. La DIS-COLL non può in ogni caso superare la durata massima di 12 mesi. Per i periodi di fruizione della DIS-COLL è riconosciuta la contribuzione figurativa rapportata al reddito medio mensile di cui all’articolo 15 comma 4 del decreto legislativo 4 marzo 2015, n. 22 entro un limite di retribuzione pari a 1,4 volte l'importo massimo mensile della DIS-COLL per l'anno in corso.”. A decorrere dal 1° gennaio 2022, per i collaboratori, gli assegnisti e i dottorandi di ricerca con borsa di studio che hanno diritto di percepire la DIS-COLL, nonché per gli amministratori e i sindaci di cui al comma 1, è dovuta un'aliquota contributiva pari a quella dovuta per la Naspi.».</w:t>
      </w:r>
    </w:p>
    <w:p w14:paraId="0949B196" w14:textId="77777777" w:rsidR="00343D88" w:rsidRPr="00EC14DE" w:rsidRDefault="00343D88" w:rsidP="007C594F">
      <w:pPr>
        <w:pStyle w:val="Titolo2"/>
      </w:pPr>
      <w:r w:rsidRPr="00EC14DE">
        <w:t>Capo III</w:t>
      </w:r>
      <w:r w:rsidRPr="00EC14DE">
        <w:br/>
        <w:t>Sostegno del lavoro autonomo</w:t>
      </w:r>
    </w:p>
    <w:p w14:paraId="6B2E8EAC" w14:textId="77777777" w:rsidR="00343D88" w:rsidRPr="00EC14DE" w:rsidRDefault="000C00C0" w:rsidP="007C594F">
      <w:pPr>
        <w:pStyle w:val="Titolo3"/>
        <w:keepNext w:val="0"/>
        <w:keepLines w:val="0"/>
        <w:widowControl w:val="0"/>
      </w:pPr>
      <w:bookmarkStart w:id="63" w:name="_Hlk72162911"/>
      <w:r w:rsidRPr="00EC14DE">
        <w:t xml:space="preserve">ART. </w:t>
      </w:r>
      <w:r w:rsidRPr="00EC14DE">
        <w:fldChar w:fldCharType="begin"/>
      </w:r>
      <w:r w:rsidRPr="00EC14DE">
        <w:instrText xml:space="preserve"> AUTONUM  \* Arabic </w:instrText>
      </w:r>
      <w:r w:rsidRPr="00EC14DE">
        <w:fldChar w:fldCharType="end"/>
      </w:r>
      <w:r w:rsidR="00343D88" w:rsidRPr="00EC14DE">
        <w:br/>
        <w:t>(Sostegno in caso di maternità)</w:t>
      </w:r>
    </w:p>
    <w:bookmarkEnd w:id="63"/>
    <w:p w14:paraId="74244BC0" w14:textId="77777777" w:rsidR="00136278" w:rsidRPr="00EC14DE" w:rsidRDefault="00136278" w:rsidP="007C594F">
      <w:pPr>
        <w:widowControl w:val="0"/>
        <w:rPr>
          <w:rFonts w:cs="Times New Roman"/>
        </w:rPr>
      </w:pPr>
      <w:r w:rsidRPr="00EC14DE">
        <w:rPr>
          <w:rFonts w:cs="Times New Roman"/>
        </w:rPr>
        <w:t xml:space="preserve">1. Alle lavoratrici di cui agli articoli 64, 66 e 70 del decreto legislativo 26 marzo 2001, n. 151 recante il Testo unico delle disposizioni legislative in materia di tutela e sostegno della maternità e della paternità, a norma dell'articolo 15 della legge 8 marzo 2000, n. 53 che abbiano dichiarato, nell’anno precedente l’inizio del periodo di maternità, un reddito inferiore a 8.145 euro, incrementato del 100 per cento dell'aumento derivante dalla variazione annuale dell'indice ISTAT dei prezzi al consumo per le famiglie degli operai e impiegati, l’indennità di maternità è riconosciuta per ulteriori tre mesi a seguire dalla fine del periodo di maternità. </w:t>
      </w:r>
    </w:p>
    <w:p w14:paraId="2F7AFAEA" w14:textId="77777777" w:rsidR="00230DF2" w:rsidRPr="00EC14DE" w:rsidRDefault="00230DF2" w:rsidP="007C594F">
      <w:pPr>
        <w:pStyle w:val="Titolo2"/>
      </w:pPr>
      <w:bookmarkStart w:id="64" w:name="_Toc86301894"/>
      <w:r w:rsidRPr="00EC14DE">
        <w:t>Capo IV</w:t>
      </w:r>
      <w:r w:rsidRPr="00EC14DE">
        <w:br/>
        <w:t>Formazione professionale, politiche attive del lavoro e promozione dell’occupazione</w:t>
      </w:r>
      <w:bookmarkEnd w:id="64"/>
    </w:p>
    <w:p w14:paraId="1BF8A7B8" w14:textId="77777777" w:rsidR="00230DF2" w:rsidRPr="00EC14DE" w:rsidRDefault="00230DF2" w:rsidP="007C594F">
      <w:pPr>
        <w:pStyle w:val="Titolo3"/>
        <w:keepNext w:val="0"/>
        <w:keepLines w:val="0"/>
        <w:widowControl w:val="0"/>
      </w:pPr>
      <w:bookmarkStart w:id="65" w:name="_Toc86301895"/>
      <w:r w:rsidRPr="00EC14DE">
        <w:t xml:space="preserve">ART. </w:t>
      </w:r>
      <w:r w:rsidRPr="00EC14DE">
        <w:fldChar w:fldCharType="begin"/>
      </w:r>
      <w:r w:rsidRPr="00EC14DE">
        <w:instrText xml:space="preserve"> AUTONUM  \* Arabic </w:instrText>
      </w:r>
      <w:r w:rsidRPr="00EC14DE">
        <w:fldChar w:fldCharType="end"/>
      </w:r>
      <w:r w:rsidRPr="00EC14DE">
        <w:br/>
        <w:t>(</w:t>
      </w:r>
      <w:r w:rsidR="00AB3895" w:rsidRPr="00EC14DE">
        <w:t>Piani formativi aziendali</w:t>
      </w:r>
      <w:r w:rsidRPr="00EC14DE">
        <w:t>)</w:t>
      </w:r>
      <w:bookmarkEnd w:id="65"/>
    </w:p>
    <w:p w14:paraId="2D4706FA" w14:textId="77777777" w:rsidR="00230DF2" w:rsidRPr="00EC14DE" w:rsidRDefault="00230DF2" w:rsidP="007C594F">
      <w:pPr>
        <w:widowControl w:val="0"/>
        <w:rPr>
          <w:rFonts w:cs="Times New Roman"/>
        </w:rPr>
      </w:pPr>
      <w:r w:rsidRPr="00EC14DE">
        <w:rPr>
          <w:rFonts w:cs="Times New Roman"/>
        </w:rPr>
        <w:t>1. All’articolo 118, comma 1, della legge 23 dicembre 2000, n. 388, dopo il quinto periodo è aggiunto il seguente:</w:t>
      </w:r>
      <w:r w:rsidR="0026509A" w:rsidRPr="00EC14DE">
        <w:rPr>
          <w:rFonts w:cs="Times New Roman"/>
        </w:rPr>
        <w:t xml:space="preserve"> </w:t>
      </w:r>
      <w:r w:rsidRPr="00EC14DE">
        <w:rPr>
          <w:rFonts w:cs="Times New Roman"/>
        </w:rPr>
        <w:t>«I fondi possono altresì finanziare in tutto o in parte piani formativi aziendali di incremento delle competenze dei lavoratori destinatari di trattamenti di integrazione salariale in costanza di rapporto di lavoro ai sensi degli articoli 11, 21, comma 1, lettere a), b) e c) e 30 del decreto legislativo 14 settembre 2015, n. 148».</w:t>
      </w:r>
    </w:p>
    <w:p w14:paraId="18E36317" w14:textId="77777777" w:rsidR="00230DF2" w:rsidRPr="00EC14DE" w:rsidRDefault="00230DF2" w:rsidP="007C594F">
      <w:pPr>
        <w:pStyle w:val="Titolo3"/>
        <w:keepNext w:val="0"/>
        <w:keepLines w:val="0"/>
        <w:widowControl w:val="0"/>
      </w:pPr>
      <w:bookmarkStart w:id="66" w:name="_Toc86301896"/>
      <w:r w:rsidRPr="00EC14DE">
        <w:t xml:space="preserve">ART. </w:t>
      </w:r>
      <w:r w:rsidRPr="00EC14DE">
        <w:fldChar w:fldCharType="begin"/>
      </w:r>
      <w:r w:rsidRPr="00EC14DE">
        <w:instrText xml:space="preserve"> AUTONUM  \* Arabic </w:instrText>
      </w:r>
      <w:r w:rsidRPr="00EC14DE">
        <w:fldChar w:fldCharType="end"/>
      </w:r>
      <w:r w:rsidRPr="00EC14DE">
        <w:br/>
        <w:t>(Disposizione in materia di Fondi Paritetici Interprofessionali)</w:t>
      </w:r>
      <w:bookmarkEnd w:id="66"/>
    </w:p>
    <w:p w14:paraId="665D1AA8" w14:textId="77777777" w:rsidR="00230DF2" w:rsidRPr="00EC14DE" w:rsidRDefault="00230DF2" w:rsidP="007C594F">
      <w:pPr>
        <w:widowControl w:val="0"/>
        <w:rPr>
          <w:rFonts w:cs="Times New Roman"/>
        </w:rPr>
      </w:pPr>
      <w:r w:rsidRPr="00EC14DE">
        <w:rPr>
          <w:rFonts w:cs="Times New Roman"/>
        </w:rPr>
        <w:t xml:space="preserve">1. Al fine di favorire percorsi di incremento delle competenze dei lavoratori destinatari di trattamenti di integrazione salariale in costanza di rapporto di lavoro orientati al mantenimento occupazionale nell’impresa, per gli anni 2022 e 2023, ai Fondi paritetici interprofessionali costituiti ai sensi dell'articolo 118, della legge 23 dicembre 2000, n. 388 che finanziano percorsi di incremento delle professionalità di lavoratori destinatari dei trattamenti di cui agli articoli 11, 21, comma 1, lettere a), b) e c) e 30 del decreto legislativo 14 settembre 2015, n. 148, il versamento di cui all’articolo 1, comma 722 della legge 23 dicembre 2014, n. 190 è annualmente rimborsato con decreto del Ministero del lavoro e delle politiche sociali di concerto con il Ministero dell’economia e delle finanze, previo monitoraggio da parte dei Fondi stessi dell'andamento del costo dei programmi formativi realizzati in favore dei soggetti di cui al presente comma. </w:t>
      </w:r>
    </w:p>
    <w:p w14:paraId="1CD48CCE" w14:textId="77777777" w:rsidR="00230DF2" w:rsidRPr="00EC14DE" w:rsidRDefault="00230DF2" w:rsidP="007C594F">
      <w:pPr>
        <w:pStyle w:val="Titolo3"/>
        <w:keepNext w:val="0"/>
        <w:keepLines w:val="0"/>
        <w:widowControl w:val="0"/>
      </w:pPr>
      <w:bookmarkStart w:id="67" w:name="_Toc86301897"/>
      <w:bookmarkStart w:id="68" w:name="_Hlk74303872"/>
      <w:bookmarkStart w:id="69" w:name="_Hlk73618520"/>
      <w:r w:rsidRPr="00EC14DE">
        <w:t xml:space="preserve">ART. </w:t>
      </w:r>
      <w:r w:rsidRPr="00EC14DE">
        <w:fldChar w:fldCharType="begin"/>
      </w:r>
      <w:r w:rsidRPr="00EC14DE">
        <w:instrText xml:space="preserve"> AUTONUM  \* Arabic </w:instrText>
      </w:r>
      <w:r w:rsidRPr="00EC14DE">
        <w:fldChar w:fldCharType="end"/>
      </w:r>
      <w:r w:rsidRPr="00EC14DE">
        <w:br/>
        <w:t xml:space="preserve">(Misure in favore </w:t>
      </w:r>
      <w:r w:rsidR="00013A79" w:rsidRPr="00EC14DE">
        <w:t xml:space="preserve">in favore dei datori di lavoro che assumono lavoratori </w:t>
      </w:r>
      <w:r w:rsidRPr="00EC14DE">
        <w:t>in cassa integrazione guadagni straordinaria)</w:t>
      </w:r>
      <w:bookmarkEnd w:id="67"/>
    </w:p>
    <w:p w14:paraId="212A7249" w14:textId="77777777" w:rsidR="00230DF2" w:rsidRPr="00EC14DE" w:rsidRDefault="00230DF2" w:rsidP="007C594F">
      <w:pPr>
        <w:widowControl w:val="0"/>
        <w:rPr>
          <w:rFonts w:cs="Times New Roman"/>
        </w:rPr>
      </w:pPr>
      <w:r w:rsidRPr="00EC14DE">
        <w:rPr>
          <w:rFonts w:cs="Times New Roman"/>
        </w:rPr>
        <w:t xml:space="preserve">1. Al datore di lavoro che assuma con contratto di lavoro subordinato a tempo indeterminato i lavoratori beneficiari del trattamento straordinario di integrazione salariale di cui all’articolo 22-ter del decreto legislativo 14 settembre 2015, n. 148, è concesso, per ogni mensilità  di  retribuzione corrisposta al lavoratore, un contributo mensile pari al cinquanta per cento dell’ammontare trattamento straordinario di integrazione salariale autorizzato ai sensi dell’articolo 22-ter del </w:t>
      </w:r>
      <w:bookmarkStart w:id="70" w:name="_Hlk73618752"/>
      <w:r w:rsidRPr="00EC14DE">
        <w:rPr>
          <w:rFonts w:cs="Times New Roman"/>
        </w:rPr>
        <w:t>decreto legislativo 14 settembre 2015, n. 148</w:t>
      </w:r>
      <w:bookmarkEnd w:id="70"/>
      <w:r w:rsidRPr="00EC14DE">
        <w:rPr>
          <w:rFonts w:cs="Times New Roman"/>
        </w:rPr>
        <w:t xml:space="preserve"> che sarebbe stato corrisposto al lavoratore. Il predetto contributo non può essere erogato per un numero di mesi superiore a dodici.</w:t>
      </w:r>
    </w:p>
    <w:p w14:paraId="746F1DE1" w14:textId="77777777" w:rsidR="00230DF2" w:rsidRPr="00EC14DE" w:rsidRDefault="00230DF2" w:rsidP="007C594F">
      <w:pPr>
        <w:widowControl w:val="0"/>
        <w:rPr>
          <w:rFonts w:cs="Times New Roman"/>
        </w:rPr>
      </w:pPr>
      <w:r w:rsidRPr="00EC14DE">
        <w:rPr>
          <w:rFonts w:cs="Times New Roman"/>
        </w:rPr>
        <w:t xml:space="preserve">2. Il contributo di cui al comma 1 spetta ai datori di lavoro privati che, nei sei mesi precedenti l'assunzione, non abbiano proceduto a licenziamenti individuali per giustificato motivo oggettivo, ai sensi dell’articolo 3 della legge 15 luglio 1966, n. 604 o a licenziamenti collettivi, ai sensi della legge 23 luglio 1991, n. 223, nella medesima unità produttiva. </w:t>
      </w:r>
    </w:p>
    <w:p w14:paraId="65DA25E4" w14:textId="77777777" w:rsidR="00230DF2" w:rsidRPr="00EC14DE" w:rsidRDefault="00230DF2" w:rsidP="007C594F">
      <w:pPr>
        <w:widowControl w:val="0"/>
        <w:rPr>
          <w:rFonts w:cs="Times New Roman"/>
        </w:rPr>
      </w:pPr>
      <w:r w:rsidRPr="00EC14DE">
        <w:rPr>
          <w:rFonts w:cs="Times New Roman"/>
        </w:rPr>
        <w:t>3. Il licenziamento del lavoratore assunto ai sensi del comma 1 nonché il licenziamento collettivo o individuale per giustificato motivo oggettivo di un lavoratore impiegato nella medesima unità produttiva e inquadrato con lo stesso livello e categoria legale di inquadramento del lavoratore assunto ai sensi del comma 1, effettuato nei sei mesi successivi alla predetta assunzione, comporta la revoca dell’esonero e il recupero del beneficio già fruito. Ai fini del computo del periodo residuo utile alla fruizione del contributo di cui al comma 1, la predetta revoca non ha effetti nei confronti degli altri datori di lavoro privati che assumono il lavoratore ai sensi del comma 1. In caso di dimissioni del lavoratore il beneficio viene riconosciuto per il periodo di effettiva durata del rapporto.</w:t>
      </w:r>
    </w:p>
    <w:p w14:paraId="7CEC7E0E" w14:textId="77777777" w:rsidR="00230DF2" w:rsidRPr="00EC14DE" w:rsidRDefault="00230DF2" w:rsidP="007C594F">
      <w:pPr>
        <w:widowControl w:val="0"/>
        <w:rPr>
          <w:rFonts w:cs="Times New Roman"/>
        </w:rPr>
      </w:pPr>
      <w:r w:rsidRPr="00EC14DE">
        <w:rPr>
          <w:rFonts w:cs="Times New Roman"/>
        </w:rPr>
        <w:t>5. Il beneficio di cui al comma 1 è riconosciuto pro quota anche qualora i lavoratori beneficiari del trattamento straordinario di integrazione salariale di cui all’articolo 22-ter del decreto legislativo 14 settembre 2015, n. 148 costituiscano una cooperativa ai sensi dell’articolo 23, comma 3-quater, del decreto-legge 22 giugno 2012, n. 83, convertito con modificazioni dalla legge 7 agosto 2012, n. 134.</w:t>
      </w:r>
    </w:p>
    <w:p w14:paraId="17ACE450" w14:textId="77777777" w:rsidR="00230DF2" w:rsidRPr="00EC14DE" w:rsidRDefault="00230DF2" w:rsidP="007C594F">
      <w:pPr>
        <w:widowControl w:val="0"/>
        <w:rPr>
          <w:rFonts w:cs="Times New Roman"/>
        </w:rPr>
      </w:pPr>
      <w:r w:rsidRPr="00EC14DE">
        <w:rPr>
          <w:rFonts w:cs="Times New Roman"/>
        </w:rPr>
        <w:t>6. Il beneficio previsto dal comma 1 è concesso ai sensi della sezione 3.1 della comunicazione della Commissione europea C(2020) 1863 final, del 19 marzo 2020, recante un «Quadro temporaneo per le misure di aiuto di Stato a sostegno dell'economia nell'attuale emergenza del COVID-19», e nei limiti e alle condizioni di cui alla medesima comunicazione. L'efficacia delle disposizioni del presente articolo è subordinata, ai sensi dell’articolo 108, paragrafo 3, del Trattato sul funzionamento dell'Unione europea, all'autorizzazione della Commissione europea.</w:t>
      </w:r>
    </w:p>
    <w:p w14:paraId="5EBF830A" w14:textId="77777777" w:rsidR="00230DF2" w:rsidRPr="00EC14DE" w:rsidRDefault="00230DF2" w:rsidP="007C594F">
      <w:pPr>
        <w:pStyle w:val="Titolo3"/>
        <w:keepNext w:val="0"/>
        <w:keepLines w:val="0"/>
        <w:widowControl w:val="0"/>
      </w:pPr>
      <w:bookmarkStart w:id="71" w:name="_Toc86301898"/>
      <w:bookmarkStart w:id="72" w:name="_Hlk74129805"/>
      <w:bookmarkEnd w:id="68"/>
      <w:r w:rsidRPr="00EC14DE">
        <w:t xml:space="preserve">ART. </w:t>
      </w:r>
      <w:r w:rsidRPr="00EC14DE">
        <w:fldChar w:fldCharType="begin"/>
      </w:r>
      <w:r w:rsidRPr="00EC14DE">
        <w:instrText xml:space="preserve"> AUTONUM  \* Arabic </w:instrText>
      </w:r>
      <w:r w:rsidRPr="00EC14DE">
        <w:fldChar w:fldCharType="end"/>
      </w:r>
      <w:r w:rsidRPr="00EC14DE">
        <w:br/>
        <w:t>(Disposizioni in materia di apprendistato professionalizzante per lavoratori in cassa integrazione guadagni straordinaria per accordo di transizione occupazionale)</w:t>
      </w:r>
      <w:bookmarkEnd w:id="71"/>
    </w:p>
    <w:p w14:paraId="7412F663" w14:textId="77777777" w:rsidR="00230DF2" w:rsidRPr="00EC14DE" w:rsidRDefault="00230DF2" w:rsidP="007C594F">
      <w:pPr>
        <w:widowControl w:val="0"/>
        <w:rPr>
          <w:rFonts w:cs="Times New Roman"/>
        </w:rPr>
      </w:pPr>
      <w:r w:rsidRPr="00EC14DE">
        <w:rPr>
          <w:rFonts w:cs="Times New Roman"/>
        </w:rPr>
        <w:t xml:space="preserve">1. All’articolo 47, comma 4, del decreto legislativo 15 giugno 2015, n. 81 dopo il primo periodo è aggiunto il seguente: «A decorrere dal 1° gennaio 2022 ai fini della loro qualificazione o riqualificazione professionale è possibile assumere in apprendistato professionalizzante, senza limiti di età, anche i lavoratori beneficiari del trattamento straordinario di integrazione salariale di cui all’articolo 22-ter del decreto legislativo 14 settembre 2015, n. 148». </w:t>
      </w:r>
    </w:p>
    <w:p w14:paraId="1683396A" w14:textId="77777777" w:rsidR="00230DF2" w:rsidRPr="00EC14DE" w:rsidRDefault="00230DF2" w:rsidP="007C594F">
      <w:pPr>
        <w:pStyle w:val="Titolo3"/>
        <w:keepNext w:val="0"/>
        <w:keepLines w:val="0"/>
        <w:widowControl w:val="0"/>
      </w:pPr>
      <w:bookmarkStart w:id="73" w:name="_Toc86301899"/>
      <w:r w:rsidRPr="00EC14DE">
        <w:t xml:space="preserve">ART. </w:t>
      </w:r>
      <w:r w:rsidRPr="00EC14DE">
        <w:fldChar w:fldCharType="begin"/>
      </w:r>
      <w:r w:rsidRPr="00EC14DE">
        <w:instrText xml:space="preserve"> AUTONUM  \* Arabic </w:instrText>
      </w:r>
      <w:r w:rsidRPr="00EC14DE">
        <w:fldChar w:fldCharType="end"/>
      </w:r>
      <w:r w:rsidRPr="00EC14DE">
        <w:br/>
        <w:t>(Patti territoriali per la transizione ecologica e digitale)</w:t>
      </w:r>
      <w:bookmarkEnd w:id="73"/>
    </w:p>
    <w:p w14:paraId="433E5E51" w14:textId="77777777" w:rsidR="00230DF2" w:rsidRPr="00EC14DE" w:rsidRDefault="00230DF2" w:rsidP="007C594F">
      <w:pPr>
        <w:widowControl w:val="0"/>
        <w:rPr>
          <w:rFonts w:cs="Times New Roman"/>
        </w:rPr>
      </w:pPr>
      <w:r w:rsidRPr="00EC14DE">
        <w:rPr>
          <w:rFonts w:cs="Times New Roman"/>
        </w:rPr>
        <w:t>1. Nell’ambito del programma di Garanzia di Occupabilità dei Lavoratori (GOL) possono essere sottoscritti accordi fra autonomie locali, soggetti pubblici e privati, enti del terzo settore, associazioni sindacali dei datori di lavoro e dei lavoratori comparativamente più rappresentative sul piano nazionale con lo scopo di realizzare progetti formativi e di inserimento lavorativo nei settori della transizione ecologica e digitale, come definiti e individuati con decreto del Ministero del Lavoro e delle Politiche sociali di concerto con il Ministero della Transizione Ecologica e del Ministero per l’innovazione tecnologica e la transizione digitale, diretti a:</w:t>
      </w:r>
    </w:p>
    <w:p w14:paraId="4AB515DA" w14:textId="77777777" w:rsidR="00230DF2" w:rsidRPr="00EC14DE" w:rsidRDefault="00230DF2" w:rsidP="007C594F">
      <w:pPr>
        <w:widowControl w:val="0"/>
        <w:rPr>
          <w:rFonts w:cs="Times New Roman"/>
        </w:rPr>
      </w:pPr>
      <w:r w:rsidRPr="00EC14DE">
        <w:rPr>
          <w:rFonts w:cs="Times New Roman"/>
        </w:rPr>
        <w:t>a) inserire e reinserire, con adeguata formazione, i lavoratori disoccupati, inoccupati e inattivi;</w:t>
      </w:r>
    </w:p>
    <w:p w14:paraId="20143087" w14:textId="77777777" w:rsidR="00230DF2" w:rsidRPr="00EC14DE" w:rsidRDefault="00230DF2" w:rsidP="007C594F">
      <w:pPr>
        <w:widowControl w:val="0"/>
        <w:rPr>
          <w:rFonts w:cs="Times New Roman"/>
        </w:rPr>
      </w:pPr>
      <w:r w:rsidRPr="00EC14DE">
        <w:rPr>
          <w:rFonts w:cs="Times New Roman"/>
        </w:rPr>
        <w:t>b) riqualificare i lavoratori già occupati e potenziare le loro conoscenze.</w:t>
      </w:r>
    </w:p>
    <w:p w14:paraId="419666D6" w14:textId="77777777" w:rsidR="00230DF2" w:rsidRPr="00EC14DE" w:rsidRDefault="00230DF2" w:rsidP="007C594F">
      <w:pPr>
        <w:widowControl w:val="0"/>
        <w:rPr>
          <w:rFonts w:cs="Times New Roman"/>
        </w:rPr>
      </w:pPr>
      <w:r w:rsidRPr="00EC14DE">
        <w:rPr>
          <w:rFonts w:cs="Times New Roman"/>
        </w:rPr>
        <w:t>2. In base agli accordi di cui al comma 1, le imprese, anche in rete, possono, secondo il loro livello di specializzazione, realizzare la formazione dei lavoratori, nei settori di cui al comma 1, al fine di:</w:t>
      </w:r>
    </w:p>
    <w:p w14:paraId="41F3F7A2" w14:textId="77777777" w:rsidR="00230DF2" w:rsidRPr="00EC14DE" w:rsidRDefault="00230DF2" w:rsidP="007C594F">
      <w:pPr>
        <w:widowControl w:val="0"/>
        <w:rPr>
          <w:rFonts w:cs="Times New Roman"/>
        </w:rPr>
      </w:pPr>
      <w:r w:rsidRPr="00EC14DE">
        <w:rPr>
          <w:rFonts w:cs="Times New Roman"/>
        </w:rPr>
        <w:t>a) fare acquisire ai lavoratori di cui al comma 1, lettera a), previa accurata analisi del fabbisogno di competenze, conoscenze specialistiche tecniche e professionali, anche avvalendosi dei contratti di apprendistato di cui agli articoli 43, 45, 47, comma 4 del decreto legislativo 15 giugno 2015 n. 81 e successive modific</w:t>
      </w:r>
      <w:r w:rsidRPr="00EC14DE">
        <w:rPr>
          <w:rFonts w:cs="Times New Roman"/>
          <w:bCs/>
        </w:rPr>
        <w:t xml:space="preserve">azioni </w:t>
      </w:r>
      <w:r w:rsidRPr="00EC14DE">
        <w:rPr>
          <w:rFonts w:cs="Times New Roman"/>
        </w:rPr>
        <w:t>ed integrazioni;</w:t>
      </w:r>
    </w:p>
    <w:p w14:paraId="476FDE2A" w14:textId="77777777" w:rsidR="00230DF2" w:rsidRPr="00EC14DE" w:rsidRDefault="00230DF2" w:rsidP="007C594F">
      <w:pPr>
        <w:widowControl w:val="0"/>
        <w:rPr>
          <w:rFonts w:cs="Times New Roman"/>
        </w:rPr>
      </w:pPr>
      <w:r w:rsidRPr="00EC14DE">
        <w:rPr>
          <w:rFonts w:cs="Times New Roman"/>
        </w:rPr>
        <w:t>b) istituire centri interaziendali, per garantire, eventualmente mediante l’istituzione di conti individuali di apprendimento permanente, la formazione continua dei lavoratori di cui al comma 1, lettera b) e agevolarne la mobilità tra imprese.</w:t>
      </w:r>
    </w:p>
    <w:p w14:paraId="29AAC2B5" w14:textId="77777777" w:rsidR="00230DF2" w:rsidRPr="00EC14DE" w:rsidRDefault="00230DF2" w:rsidP="007C594F">
      <w:pPr>
        <w:pStyle w:val="Titolo3"/>
        <w:keepNext w:val="0"/>
        <w:keepLines w:val="0"/>
        <w:widowControl w:val="0"/>
      </w:pPr>
      <w:bookmarkStart w:id="74" w:name="_Toc86301900"/>
      <w:bookmarkStart w:id="75" w:name="_Hlk74041564"/>
      <w:bookmarkEnd w:id="72"/>
      <w:r w:rsidRPr="00EC14DE">
        <w:t xml:space="preserve">ART. </w:t>
      </w:r>
      <w:r w:rsidRPr="00EC14DE">
        <w:fldChar w:fldCharType="begin"/>
      </w:r>
      <w:r w:rsidRPr="00EC14DE">
        <w:instrText xml:space="preserve"> AUTONUM  \* Arabic </w:instrText>
      </w:r>
      <w:r w:rsidRPr="00EC14DE">
        <w:fldChar w:fldCharType="end"/>
      </w:r>
      <w:r w:rsidRPr="00EC14DE">
        <w:br/>
        <w:t>(Politiche attive per i lavoratori autonomi)</w:t>
      </w:r>
      <w:bookmarkEnd w:id="74"/>
    </w:p>
    <w:p w14:paraId="16FC5E3E" w14:textId="77777777" w:rsidR="00230DF2" w:rsidRPr="00EC14DE" w:rsidRDefault="00230DF2" w:rsidP="007C594F">
      <w:pPr>
        <w:widowControl w:val="0"/>
        <w:rPr>
          <w:rFonts w:cs="Times New Roman"/>
        </w:rPr>
      </w:pPr>
      <w:r w:rsidRPr="00EC14DE">
        <w:rPr>
          <w:rFonts w:cs="Times New Roman"/>
        </w:rPr>
        <w:t>1. Al fine di migliorare l’accesso alle informazioni sul mercato e ai servizi personalizzati di orientamento riqualificazione e ricollocazione dei lavoratori autonomi titolari di partita IVA, le misure di assistenza intensiva all’inserimento occupazionale del programma Garanzia di occupabilità dei lavoratori» (GOL) istituito ai sensi dell’articolo 1, comma 324, della legge 30 dicembre 2020, n. 178 sono riconosciute anche ai lavoratori autonomi che cessano in via definitiva la propria attività professionale.</w:t>
      </w:r>
    </w:p>
    <w:p w14:paraId="6AB824BF" w14:textId="77777777" w:rsidR="00230DF2" w:rsidRPr="00EC14DE" w:rsidRDefault="00230DF2" w:rsidP="007C594F">
      <w:pPr>
        <w:widowControl w:val="0"/>
        <w:rPr>
          <w:rFonts w:cs="Times New Roman"/>
        </w:rPr>
      </w:pPr>
      <w:r w:rsidRPr="00EC14DE">
        <w:rPr>
          <w:rFonts w:cs="Times New Roman"/>
        </w:rPr>
        <w:t>2. I servizi di assistenza di cui al comma 1 sono erogati dai centri per l’impiego e gli organismi autorizzati alle attività di intermediazione in materia di lavoro ai sensi della disciplina vigente mediante lo sportello dedicato al lavoro autonomo di cui all’articolo 10 della legge 14 giugno 2017, n. 81, anche stipulando convenzioni non onerose con gli ordini e i collegi professionali e le associazioni costituite ai sensi degli articoli 4, comma 1, e 5 della legge 14 gennaio 2013, n. 4, nonché con le associazioni comparativamente più rappresentative sul piano nazionale dei lavoratori autonomi iscritti e non iscritti ad albi professionali.</w:t>
      </w:r>
    </w:p>
    <w:p w14:paraId="3566A461" w14:textId="77777777" w:rsidR="00230DF2" w:rsidRPr="00EC14DE" w:rsidRDefault="00230DF2" w:rsidP="007C594F">
      <w:pPr>
        <w:pStyle w:val="Titolo3"/>
        <w:keepNext w:val="0"/>
        <w:keepLines w:val="0"/>
        <w:widowControl w:val="0"/>
      </w:pPr>
      <w:bookmarkStart w:id="76" w:name="_Toc86301901"/>
      <w:bookmarkStart w:id="77" w:name="_Hlk76392412"/>
      <w:r w:rsidRPr="00EC14DE">
        <w:t xml:space="preserve">ART. </w:t>
      </w:r>
      <w:r w:rsidRPr="00EC14DE">
        <w:fldChar w:fldCharType="begin"/>
      </w:r>
      <w:r w:rsidRPr="00EC14DE">
        <w:instrText xml:space="preserve"> AUTONUM  \* Arabic </w:instrText>
      </w:r>
      <w:r w:rsidRPr="00EC14DE">
        <w:fldChar w:fldCharType="end"/>
      </w:r>
      <w:r w:rsidRPr="00EC14DE">
        <w:br/>
        <w:t>(Sostegno alla costituzione di cooperative di lavoratori)</w:t>
      </w:r>
      <w:bookmarkEnd w:id="76"/>
    </w:p>
    <w:p w14:paraId="3DBCF3C8" w14:textId="77777777" w:rsidR="00230DF2" w:rsidRPr="00EC14DE" w:rsidRDefault="00230DF2" w:rsidP="007C594F">
      <w:pPr>
        <w:widowControl w:val="0"/>
        <w:rPr>
          <w:rFonts w:cs="Times New Roman"/>
          <w:bCs/>
        </w:rPr>
      </w:pPr>
      <w:r w:rsidRPr="00EC14DE">
        <w:rPr>
          <w:rFonts w:cs="Times New Roman"/>
          <w:bCs/>
        </w:rPr>
        <w:t>1. Al fine di promuovere interventi diretti a salvaguardare l'occupazione e assicurare la continuità all'esercizio delle attività imprenditoriali, alle società cooperative che si costituiscono, a decorrere dal 1 gennaio 2022, ai sensi dell’articolo 23, comma 3-quater, del decreto legge 22 giugno 2012, n. 83, convertito con modificazioni dalla legge 7 agosto 2012, n. 134, è riconosciuto, per un periodo massimo di ventiquattro mesi dalla data della costituzione della cooperativa, l'esonero dal versamento del 100 per cento dei complessivi contributi previdenziali a carico dei datori di lavoro, con esclusione dei premi e contributi dovuti all'Istituto nazionale per l'assicurazione contro gli infortuni sul lavoro (INAIL) nel limite massimo di importo pari a 6.000 euro su base annua, riparametrato e applicato su base mensile. Resta ferma l'aliquota di computo delle prestazioni pensionistiche.</w:t>
      </w:r>
    </w:p>
    <w:p w14:paraId="14E111A1" w14:textId="77777777" w:rsidR="00C428E4" w:rsidRPr="00EC14DE" w:rsidRDefault="00230DF2" w:rsidP="007C594F">
      <w:pPr>
        <w:widowControl w:val="0"/>
        <w:rPr>
          <w:rFonts w:cs="Times New Roman"/>
        </w:rPr>
      </w:pPr>
      <w:r w:rsidRPr="00EC14DE">
        <w:rPr>
          <w:rFonts w:cs="Times New Roman"/>
        </w:rPr>
        <w:t>2. L’esonero di cui al comma 1 non è riconosciuto qualora il datore di lavoro dell’impresa oggetto di trasferimento, affitto o cessione ai lavoratori, non abbia corrisposto ai propri dipendenti nell’ultimo periodo d’imposta retribuzioni almeno pari al 50 per cento dell’ammontare complessivo dei costi sostenuti, con esclusione di quelli relativi alle materie prime e sussidiarie”.</w:t>
      </w:r>
    </w:p>
    <w:p w14:paraId="196E1C64" w14:textId="77777777" w:rsidR="00230DF2" w:rsidRPr="00EC14DE" w:rsidRDefault="00230DF2" w:rsidP="007C594F">
      <w:pPr>
        <w:pStyle w:val="Titolo3"/>
        <w:keepNext w:val="0"/>
        <w:keepLines w:val="0"/>
        <w:widowControl w:val="0"/>
      </w:pPr>
      <w:bookmarkStart w:id="78" w:name="_Toc86301902"/>
      <w:bookmarkEnd w:id="69"/>
      <w:bookmarkEnd w:id="75"/>
      <w:bookmarkEnd w:id="77"/>
      <w:r w:rsidRPr="00EC14DE">
        <w:t xml:space="preserve">ART. </w:t>
      </w:r>
      <w:r w:rsidRPr="00EC14DE">
        <w:fldChar w:fldCharType="begin"/>
      </w:r>
      <w:r w:rsidRPr="00EC14DE">
        <w:instrText xml:space="preserve"> AUTONUM  \* Arabic </w:instrText>
      </w:r>
      <w:r w:rsidRPr="00EC14DE">
        <w:fldChar w:fldCharType="end"/>
      </w:r>
      <w:r w:rsidRPr="00EC14DE">
        <w:br/>
        <w:t>(</w:t>
      </w:r>
      <w:bookmarkStart w:id="79" w:name="_Hlk86240385"/>
      <w:r w:rsidR="009E02A8" w:rsidRPr="00EC14DE">
        <w:rPr>
          <w:rFonts w:cs="Times New Roman"/>
          <w:szCs w:val="22"/>
        </w:rPr>
        <w:t>Disposizioni finanziarie relative agli interventi in materia di ammortizzatori sociali</w:t>
      </w:r>
      <w:bookmarkEnd w:id="79"/>
      <w:r w:rsidRPr="00EC14DE">
        <w:t>)</w:t>
      </w:r>
      <w:bookmarkEnd w:id="78"/>
    </w:p>
    <w:p w14:paraId="3043E612" w14:textId="77777777" w:rsidR="006E2B9D" w:rsidRPr="00EC14DE" w:rsidRDefault="00230DF2" w:rsidP="006E2B9D">
      <w:pPr>
        <w:rPr>
          <w:rFonts w:cs="Times New Roman"/>
          <w:b/>
        </w:rPr>
      </w:pPr>
      <w:r w:rsidRPr="00EC14DE">
        <w:rPr>
          <w:rFonts w:cs="Times New Roman"/>
        </w:rPr>
        <w:t xml:space="preserve">1. </w:t>
      </w:r>
      <w:bookmarkStart w:id="80" w:name="_Hlk86240538"/>
      <w:r w:rsidRPr="00EC14DE">
        <w:rPr>
          <w:rFonts w:cs="Times New Roman"/>
        </w:rPr>
        <w:t xml:space="preserve">In deroga a quanto previsto dall’articolo 29, comma 4, primo periodo del decreto legislativo 14 settembre 2015, n. 148 al fondo di integrazione salariale di cui al medesimo articolo è riconosciuto un trasferimento a carico dello </w:t>
      </w:r>
      <w:r w:rsidR="0021647A" w:rsidRPr="00EC14DE">
        <w:rPr>
          <w:rFonts w:cs="Times New Roman"/>
        </w:rPr>
        <w:t>Stato nel limite massimo di 2.047,4</w:t>
      </w:r>
      <w:r w:rsidRPr="00EC14DE">
        <w:rPr>
          <w:rFonts w:cs="Times New Roman"/>
        </w:rPr>
        <w:t xml:space="preserve"> milioni di euro per l’anno 2022 e di 400,4 milioni di euro per l’anno 2023 per assicurare le prestazioni di assegno di integrazione salariale in base alle effettive necessità</w:t>
      </w:r>
      <w:bookmarkEnd w:id="80"/>
      <w:r w:rsidRPr="00EC14DE">
        <w:rPr>
          <w:rFonts w:cs="Times New Roman"/>
        </w:rPr>
        <w:t xml:space="preserve"> come conseguenti dagli interventi di modifica di cui all’</w:t>
      </w:r>
      <w:r w:rsidRPr="00EC14DE">
        <w:rPr>
          <w:rFonts w:cs="Times New Roman"/>
          <w:b/>
        </w:rPr>
        <w:t xml:space="preserve">articolo </w:t>
      </w:r>
      <w:r w:rsidR="00316D83" w:rsidRPr="00EC14DE">
        <w:rPr>
          <w:rFonts w:cs="Times New Roman"/>
          <w:b/>
        </w:rPr>
        <w:t>6</w:t>
      </w:r>
      <w:r w:rsidR="00953EE6" w:rsidRPr="00EC14DE">
        <w:rPr>
          <w:rFonts w:cs="Times New Roman"/>
          <w:b/>
        </w:rPr>
        <w:t>8</w:t>
      </w:r>
      <w:r w:rsidR="006E2B9D" w:rsidRPr="00EC14DE">
        <w:rPr>
          <w:rFonts w:cs="Times New Roman"/>
          <w:b/>
        </w:rPr>
        <w:t xml:space="preserve"> e</w:t>
      </w:r>
      <w:r w:rsidR="00316D83" w:rsidRPr="00EC14DE">
        <w:rPr>
          <w:rFonts w:cs="Times New Roman"/>
          <w:b/>
        </w:rPr>
        <w:t xml:space="preserve"> </w:t>
      </w:r>
      <w:r w:rsidR="006E2B9D" w:rsidRPr="00EC14DE">
        <w:rPr>
          <w:rFonts w:cs="Times New Roman"/>
          <w:b/>
        </w:rPr>
        <w:t>all’</w:t>
      </w:r>
      <w:r w:rsidR="00953EE6" w:rsidRPr="00EC14DE">
        <w:rPr>
          <w:rFonts w:cs="Times New Roman"/>
          <w:b/>
        </w:rPr>
        <w:t>articolo 75</w:t>
      </w:r>
      <w:r w:rsidR="006E2B9D" w:rsidRPr="00EC14DE">
        <w:rPr>
          <w:rFonts w:cs="Times New Roman"/>
          <w:b/>
        </w:rPr>
        <w:t>, comma 1.</w:t>
      </w:r>
    </w:p>
    <w:p w14:paraId="37DE0DCA" w14:textId="77777777" w:rsidR="003C7584" w:rsidRPr="00EC14DE" w:rsidRDefault="003C7584" w:rsidP="006E2B9D">
      <w:pPr>
        <w:rPr>
          <w:rFonts w:cs="Times New Roman"/>
        </w:rPr>
      </w:pPr>
      <w:r w:rsidRPr="00EC14DE">
        <w:rPr>
          <w:rFonts w:cs="Times New Roman"/>
        </w:rPr>
        <w:t>2. L’autorizzazione di spesa di cui all’articolo 11-bis, comma 6, del decreto-legge 25 maggio 2021, n. 73, convertito dalla legge 23 luglio 2021, n. 106, è soppressa.</w:t>
      </w:r>
    </w:p>
    <w:p w14:paraId="5CC3E2A3" w14:textId="77777777" w:rsidR="00230DF2" w:rsidRPr="00EC14DE" w:rsidRDefault="00230DF2" w:rsidP="007C594F">
      <w:pPr>
        <w:pStyle w:val="Titolo3"/>
        <w:keepNext w:val="0"/>
        <w:keepLines w:val="0"/>
        <w:widowControl w:val="0"/>
        <w:rPr>
          <w:rFonts w:cs="Times New Roman"/>
          <w:szCs w:val="22"/>
        </w:rPr>
      </w:pPr>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Fonts w:cs="Times New Roman"/>
          <w:szCs w:val="22"/>
        </w:rPr>
        <w:t>(</w:t>
      </w:r>
      <w:bookmarkStart w:id="81" w:name="_Hlk86240419"/>
      <w:r w:rsidRPr="00EC14DE">
        <w:rPr>
          <w:rFonts w:cs="Times New Roman"/>
          <w:szCs w:val="22"/>
        </w:rPr>
        <w:t>Osservatorio</w:t>
      </w:r>
      <w:bookmarkEnd w:id="81"/>
      <w:r w:rsidR="00EE0B60" w:rsidRPr="00EC14DE">
        <w:rPr>
          <w:rFonts w:cs="Times New Roman"/>
          <w:szCs w:val="22"/>
        </w:rPr>
        <w:t xml:space="preserve"> per il </w:t>
      </w:r>
      <w:r w:rsidR="00EE0B60" w:rsidRPr="00EC14DE">
        <w:rPr>
          <w:rFonts w:cs="Times New Roman"/>
        </w:rPr>
        <w:t>monitoraggio e la valutazione delle disposizioni in materia di ammortizzatori sociali</w:t>
      </w:r>
      <w:r w:rsidRPr="00EC14DE">
        <w:rPr>
          <w:rFonts w:cs="Times New Roman"/>
          <w:szCs w:val="22"/>
        </w:rPr>
        <w:t>)</w:t>
      </w:r>
    </w:p>
    <w:p w14:paraId="61DA6267" w14:textId="77777777" w:rsidR="00D219DC" w:rsidRPr="00EC14DE" w:rsidRDefault="00230DF2" w:rsidP="008420A0">
      <w:pPr>
        <w:widowControl w:val="0"/>
      </w:pPr>
      <w:r w:rsidRPr="00EC14DE">
        <w:rPr>
          <w:rFonts w:cs="Times New Roman"/>
        </w:rPr>
        <w:t xml:space="preserve">1. Al fine di assicurare </w:t>
      </w:r>
      <w:bookmarkStart w:id="82" w:name="_Hlk86240475"/>
      <w:r w:rsidRPr="00EC14DE">
        <w:rPr>
          <w:rFonts w:cs="Times New Roman"/>
        </w:rPr>
        <w:t>il monitoraggio e la valutazione indipendente delle disposizioni  in materia di ammortizzatori sociali</w:t>
      </w:r>
      <w:bookmarkEnd w:id="82"/>
      <w:r w:rsidRPr="00EC14DE">
        <w:rPr>
          <w:rFonts w:cs="Times New Roman"/>
        </w:rPr>
        <w:t xml:space="preserve">,  è  istituito, </w:t>
      </w:r>
      <w:bookmarkStart w:id="83" w:name="_Hlk86240490"/>
      <w:r w:rsidRPr="00EC14DE">
        <w:rPr>
          <w:rFonts w:cs="Times New Roman"/>
        </w:rPr>
        <w:t>senza nuovi o maggiori oneri  per  la  finanza  pubblica</w:t>
      </w:r>
      <w:bookmarkEnd w:id="83"/>
      <w:r w:rsidRPr="00EC14DE">
        <w:rPr>
          <w:rFonts w:cs="Times New Roman"/>
        </w:rPr>
        <w:t>,  presso  il Ministero del  lavoro  e  delle  politiche  sociali  un  osservatorio permanente, presieduto dal Ministro o da un suo delegato  e  composto da rappresentanti dei datori di lavoro e dei  lavoratori  designati   dalle   organizzazioni sindacali comparativamente più rappresentative a livello  nazionale. L'osservatorio verifica, sulla base dei dati forniti dal Ministero del lavoro e delle politiche sociali, dall’INPS e dai fondi di solidarietà bilaterale alternativi di cui all’articolo 27 del decreto legislativo 14 settembre 2015, n. 148, gli effetti delle disposizioni della presente legge, comunicando le risultanze al Ministero del lavoro per le opportune valutazioni ed eventuali revisioni dei trattamenti di integrazione salariale e delle relative aliquote di finanziamento in base all'evoluzione del mercato del lavoro e della dinamica sociale. Ai componenti dell’osservatorio non spetta alcun compenso, indennità, gettone di presenza, rimborso spese o emolumento comunque denominato. L’attuazione delle disposizioni di cui al presente articolo non deve comportare nuovi o maggiori oneri a carico della finanza pubblica ed è assicurata con le risorse finanziarie, umane e strumentali previste a legislazione vigente.</w:t>
      </w:r>
    </w:p>
    <w:p w14:paraId="11FDE56F" w14:textId="77777777" w:rsidR="008309A7" w:rsidRPr="00EC14DE" w:rsidRDefault="008309A7" w:rsidP="007C594F">
      <w:pPr>
        <w:pStyle w:val="Titolo1"/>
        <w:keepNext w:val="0"/>
        <w:keepLines w:val="0"/>
        <w:widowControl w:val="0"/>
      </w:pPr>
      <w:r w:rsidRPr="00EC14DE">
        <w:t>Titolo VI</w:t>
      </w:r>
      <w:r w:rsidRPr="00EC14DE">
        <w:br/>
        <w:t>Sanità</w:t>
      </w:r>
      <w:r w:rsidR="000A34D9" w:rsidRPr="00EC14DE">
        <w:t xml:space="preserve"> </w:t>
      </w:r>
    </w:p>
    <w:p w14:paraId="545788E6" w14:textId="77777777" w:rsidR="008309A7" w:rsidRPr="00EC14DE" w:rsidRDefault="008309A7"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(Incremento Fondo sanitario nazionale) </w:t>
      </w:r>
    </w:p>
    <w:p w14:paraId="3D2BB486" w14:textId="77777777" w:rsidR="004016FE" w:rsidRPr="00EC14DE" w:rsidRDefault="004016FE" w:rsidP="004016FE">
      <w:pPr>
        <w:rPr>
          <w:rFonts w:cs="Times New Roman"/>
        </w:rPr>
      </w:pPr>
      <w:r w:rsidRPr="00EC14DE">
        <w:rPr>
          <w:rFonts w:cs="Times New Roman"/>
        </w:rPr>
        <w:t xml:space="preserve">1. Il livello del finanziamento del fabbisogno sanitario nazionale standard a cui concorre lo Stato è determinato in 124.061 milioni di euro per l’anno 2022, in 126.061 milioni di euro per l’anno 2023 e in 128.061 milioni di euro </w:t>
      </w:r>
      <w:r w:rsidR="001C041D" w:rsidRPr="00EC14DE">
        <w:rPr>
          <w:rFonts w:cs="Times New Roman"/>
        </w:rPr>
        <w:t>a decorrere dal</w:t>
      </w:r>
      <w:r w:rsidRPr="00EC14DE">
        <w:rPr>
          <w:rFonts w:cs="Times New Roman"/>
        </w:rPr>
        <w:t xml:space="preserve">l’anno 2024. Le regioni e le Province autonome di Trento e di Bolzano provvedono agli interventi di cui agli </w:t>
      </w:r>
      <w:r w:rsidRPr="00EC14DE">
        <w:rPr>
          <w:rFonts w:cs="Times New Roman"/>
          <w:b/>
        </w:rPr>
        <w:t>articoli 8</w:t>
      </w:r>
      <w:r w:rsidR="00953EE6" w:rsidRPr="00EC14DE">
        <w:rPr>
          <w:rFonts w:cs="Times New Roman"/>
          <w:b/>
        </w:rPr>
        <w:t>9</w:t>
      </w:r>
      <w:r w:rsidR="005B526A" w:rsidRPr="00EC14DE">
        <w:rPr>
          <w:rFonts w:cs="Times New Roman"/>
          <w:b/>
        </w:rPr>
        <w:t xml:space="preserve">, </w:t>
      </w:r>
      <w:r w:rsidR="00C806CD" w:rsidRPr="00EC14DE">
        <w:rPr>
          <w:rFonts w:cs="Times New Roman"/>
          <w:b/>
        </w:rPr>
        <w:t>9</w:t>
      </w:r>
      <w:r w:rsidR="00110EC0" w:rsidRPr="00EC14DE">
        <w:rPr>
          <w:rFonts w:cs="Times New Roman"/>
          <w:b/>
        </w:rPr>
        <w:t>2</w:t>
      </w:r>
      <w:r w:rsidR="0041197B" w:rsidRPr="00EC14DE">
        <w:rPr>
          <w:rFonts w:cs="Times New Roman"/>
          <w:b/>
        </w:rPr>
        <w:t xml:space="preserve">, </w:t>
      </w:r>
      <w:r w:rsidR="00C806CD" w:rsidRPr="00EC14DE">
        <w:rPr>
          <w:rFonts w:cs="Times New Roman"/>
          <w:b/>
        </w:rPr>
        <w:t>9</w:t>
      </w:r>
      <w:r w:rsidR="00110EC0" w:rsidRPr="00EC14DE">
        <w:rPr>
          <w:rFonts w:cs="Times New Roman"/>
          <w:b/>
        </w:rPr>
        <w:t>3</w:t>
      </w:r>
      <w:r w:rsidR="00245ED8" w:rsidRPr="00EC14DE">
        <w:rPr>
          <w:rFonts w:cs="Times New Roman"/>
          <w:b/>
        </w:rPr>
        <w:t>,</w:t>
      </w:r>
      <w:r w:rsidR="007B28E1" w:rsidRPr="00EC14DE">
        <w:rPr>
          <w:rFonts w:cs="Times New Roman"/>
          <w:b/>
        </w:rPr>
        <w:t xml:space="preserve"> comma 1,</w:t>
      </w:r>
      <w:r w:rsidR="00245ED8" w:rsidRPr="00EC14DE">
        <w:rPr>
          <w:rFonts w:cs="Times New Roman"/>
          <w:b/>
        </w:rPr>
        <w:t xml:space="preserve"> </w:t>
      </w:r>
      <w:r w:rsidR="00C806CD" w:rsidRPr="00EC14DE">
        <w:rPr>
          <w:rFonts w:cs="Times New Roman"/>
          <w:b/>
        </w:rPr>
        <w:t>9</w:t>
      </w:r>
      <w:r w:rsidR="00110EC0" w:rsidRPr="00EC14DE">
        <w:rPr>
          <w:rFonts w:cs="Times New Roman"/>
          <w:b/>
        </w:rPr>
        <w:t>4</w:t>
      </w:r>
      <w:r w:rsidR="005B526A" w:rsidRPr="00EC14DE">
        <w:rPr>
          <w:rFonts w:cs="Times New Roman"/>
          <w:b/>
        </w:rPr>
        <w:t xml:space="preserve">, </w:t>
      </w:r>
      <w:r w:rsidR="00C806CD" w:rsidRPr="00EC14DE">
        <w:rPr>
          <w:rFonts w:cs="Times New Roman"/>
          <w:b/>
        </w:rPr>
        <w:t>9</w:t>
      </w:r>
      <w:r w:rsidR="00110EC0" w:rsidRPr="00EC14DE">
        <w:rPr>
          <w:rFonts w:cs="Times New Roman"/>
          <w:b/>
        </w:rPr>
        <w:t>5</w:t>
      </w:r>
      <w:r w:rsidR="00E150E5" w:rsidRPr="00EC14DE">
        <w:rPr>
          <w:rFonts w:cs="Times New Roman"/>
          <w:b/>
        </w:rPr>
        <w:t xml:space="preserve">, </w:t>
      </w:r>
      <w:r w:rsidR="005B526A" w:rsidRPr="00EC14DE">
        <w:rPr>
          <w:rFonts w:cs="Times New Roman"/>
          <w:b/>
        </w:rPr>
        <w:t>9</w:t>
      </w:r>
      <w:r w:rsidR="00110EC0" w:rsidRPr="00EC14DE">
        <w:rPr>
          <w:rFonts w:cs="Times New Roman"/>
          <w:b/>
        </w:rPr>
        <w:t>6</w:t>
      </w:r>
      <w:r w:rsidRPr="00EC14DE">
        <w:rPr>
          <w:rFonts w:cs="Times New Roman"/>
          <w:b/>
        </w:rPr>
        <w:t>, 9</w:t>
      </w:r>
      <w:r w:rsidR="00110EC0" w:rsidRPr="00EC14DE">
        <w:rPr>
          <w:rFonts w:cs="Times New Roman"/>
          <w:b/>
        </w:rPr>
        <w:t>8</w:t>
      </w:r>
      <w:r w:rsidR="0064529B" w:rsidRPr="00EC14DE">
        <w:rPr>
          <w:rFonts w:cs="Times New Roman"/>
          <w:b/>
        </w:rPr>
        <w:t>,</w:t>
      </w:r>
      <w:r w:rsidR="00CB62C5" w:rsidRPr="00EC14DE">
        <w:rPr>
          <w:rFonts w:cs="Times New Roman"/>
          <w:b/>
        </w:rPr>
        <w:t xml:space="preserve"> </w:t>
      </w:r>
      <w:r w:rsidR="00C806CD" w:rsidRPr="00EC14DE">
        <w:rPr>
          <w:rFonts w:cs="Times New Roman"/>
          <w:b/>
        </w:rPr>
        <w:t>10</w:t>
      </w:r>
      <w:r w:rsidR="00110EC0" w:rsidRPr="00EC14DE">
        <w:rPr>
          <w:rFonts w:cs="Times New Roman"/>
          <w:b/>
        </w:rPr>
        <w:t>0</w:t>
      </w:r>
      <w:r w:rsidR="00394C49" w:rsidRPr="00EC14DE">
        <w:rPr>
          <w:rFonts w:cs="Times New Roman"/>
          <w:b/>
        </w:rPr>
        <w:t xml:space="preserve">, </w:t>
      </w:r>
      <w:r w:rsidR="0018655E" w:rsidRPr="00EC14DE">
        <w:rPr>
          <w:rFonts w:cs="Times New Roman"/>
          <w:b/>
        </w:rPr>
        <w:t>10</w:t>
      </w:r>
      <w:r w:rsidR="00110EC0" w:rsidRPr="00EC14DE">
        <w:rPr>
          <w:rFonts w:cs="Times New Roman"/>
          <w:b/>
        </w:rPr>
        <w:t>1</w:t>
      </w:r>
      <w:r w:rsidR="00C806CD" w:rsidRPr="00EC14DE">
        <w:rPr>
          <w:rFonts w:cs="Times New Roman"/>
          <w:b/>
        </w:rPr>
        <w:t xml:space="preserve"> </w:t>
      </w:r>
      <w:r w:rsidR="0064529B" w:rsidRPr="00EC14DE">
        <w:rPr>
          <w:rFonts w:cs="Times New Roman"/>
          <w:b/>
        </w:rPr>
        <w:t xml:space="preserve">e </w:t>
      </w:r>
      <w:r w:rsidR="00110EC0" w:rsidRPr="00EC14DE">
        <w:rPr>
          <w:rFonts w:cs="Times New Roman"/>
          <w:b/>
        </w:rPr>
        <w:t>102</w:t>
      </w:r>
      <w:r w:rsidR="00CB62C5" w:rsidRPr="00EC14DE">
        <w:rPr>
          <w:rFonts w:cs="Times New Roman"/>
          <w:b/>
        </w:rPr>
        <w:t>,</w:t>
      </w:r>
      <w:r w:rsidR="00056EC8" w:rsidRPr="00EC14DE">
        <w:rPr>
          <w:rFonts w:cs="Times New Roman"/>
          <w:b/>
        </w:rPr>
        <w:t xml:space="preserve"> </w:t>
      </w:r>
      <w:r w:rsidR="00056EC8" w:rsidRPr="00EC14DE">
        <w:rPr>
          <w:rFonts w:cs="Times New Roman"/>
        </w:rPr>
        <w:t>n</w:t>
      </w:r>
      <w:r w:rsidRPr="00EC14DE">
        <w:rPr>
          <w:rFonts w:cs="Times New Roman"/>
        </w:rPr>
        <w:t xml:space="preserve">ell’ambito del finanziamento di cui al presente comma, ferma restando l’applicazione, ove non diversamente previsto, delle disposizioni legislative vigenti in materia di compartecipazione delle autonomie speciali al finanziamento del relativo fabbisogno sanitario. </w:t>
      </w:r>
    </w:p>
    <w:p w14:paraId="50B951C5" w14:textId="77777777" w:rsidR="004016FE" w:rsidRPr="00EC14DE" w:rsidRDefault="004016FE" w:rsidP="004016FE">
      <w:pPr>
        <w:rPr>
          <w:rFonts w:cs="Times New Roman"/>
        </w:rPr>
      </w:pPr>
      <w:r w:rsidRPr="00EC14DE">
        <w:rPr>
          <w:rFonts w:cs="Times New Roman"/>
        </w:rPr>
        <w:t>2. Il fondo di cui all’articolo 35-ter del decreto-legge 25 maggio 2021, n. 73, convertito con modificazioni dalla legge 23 luglio 2021, n. 106, relativo al concorso al rimborso alle regioni delle spese sostenute per l’acquisto dei farmaci innovativi è incrementato di 100 milioni di euro per l’anno 2022, di 200 milioni di euro per l’anno 2023 e di 300 milioni di euro a decorrere dall’anno 2024. Gli importi di cui al presente comma integrano il finanziamento di cui al comma 1.</w:t>
      </w:r>
    </w:p>
    <w:p w14:paraId="7082CB47" w14:textId="77777777" w:rsidR="004016FE" w:rsidRPr="00EC14DE" w:rsidRDefault="004016FE" w:rsidP="004016FE">
      <w:pPr>
        <w:rPr>
          <w:rFonts w:cs="Times New Roman"/>
        </w:rPr>
      </w:pPr>
      <w:r w:rsidRPr="00EC14DE">
        <w:rPr>
          <w:rFonts w:cs="Times New Roman"/>
        </w:rPr>
        <w:t>3. Al fine di aumentare il numero dei contratti di formazione specialistica dei medici, di cui all'articolo 37 del decreto legislativo 17 agosto 1999, n. 368, è autorizzata l'ulteriore spesa di 194 milioni di euro per l’anno 2022, 319 milioni di euro per l’anno 2023, 347 milioni di euro per l’anno 2024, 425 milioni di euro per l’anno 2025, 517 milioni di euro per l’anno 2026 e 543 milioni di euro a decorrere dall’anno 2027. Gli importi di cui al presente comma integrano il finanziamento di cui al comma 1.</w:t>
      </w:r>
    </w:p>
    <w:p w14:paraId="64BD6564" w14:textId="77777777" w:rsidR="007B4B75" w:rsidRPr="00EC14DE" w:rsidRDefault="007B4B75"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EB796C" w:rsidRPr="00EC14DE">
        <w:t>Finanziamento del Piano strategico-operativo nazionale di preparazione e risposta a una pandemia influenzale 2021-2023</w:t>
      </w:r>
      <w:r w:rsidRPr="00EC14DE">
        <w:t xml:space="preserve">) </w:t>
      </w:r>
    </w:p>
    <w:p w14:paraId="50E79E3F" w14:textId="77777777" w:rsidR="005B526A" w:rsidRPr="00EC14DE" w:rsidRDefault="005B526A" w:rsidP="005B526A">
      <w:pPr>
        <w:rPr>
          <w:rFonts w:cs="Times New Roman"/>
        </w:rPr>
      </w:pPr>
      <w:r w:rsidRPr="00EC14DE">
        <w:rPr>
          <w:rFonts w:cs="Times New Roman"/>
        </w:rPr>
        <w:t>1. Nelle more dell’adozione da parte delle regioni e delle province autonome dei decreti attuativi dei Piani pandemici regionali e provinciali, è autorizzata la spesa di 200 milioni di euro per l’implementazione delle prime misure previste dal Piano strategico-operativo nazionale di preparazione e risposta a una pandemia influenzale (PanFlu) 2021-2023, a valere sul fabbisogno sanitario nazionale standard per l’anno 2022. Per le medesime finalità, e nelle more dell’adozione dei decreti attuativi dei Piani pandemici regionali e provinciali, è autorizzata la spesa massima di 350 milioni di euro, a valere sul fabbisogno sanitario nazionale standard per l’anno 2023, il cui importo sarà definito, su proposta del Ministro della salute, di concerto con il Ministro dell’economia</w:t>
      </w:r>
      <w:r w:rsidR="00E93BA3">
        <w:rPr>
          <w:rFonts w:cs="Times New Roman"/>
        </w:rPr>
        <w:t xml:space="preserve"> e delle finanze</w:t>
      </w:r>
      <w:r w:rsidRPr="00EC14DE">
        <w:rPr>
          <w:rFonts w:cs="Times New Roman"/>
        </w:rPr>
        <w:t>, in sede di Intesa in Conferenza permanente per i rapporti fra lo Stato, le regioni e le Province autonome di Trento e di Bolzano sul riparto del fabbisogno sanitario. Al finanziamento di cui al presente comma e relativo ad entrambi gli anni accedono tutte le regioni e le province autonome di Trento e di Bolzano, in deroga alle disposizioni legislative vigenti in materia di compartecipazione delle autonomie speciali al finanziamento del relativo fabbisogno sanitario.</w:t>
      </w:r>
    </w:p>
    <w:p w14:paraId="60AEA675" w14:textId="77777777" w:rsidR="004D60DD" w:rsidRPr="00EC14DE" w:rsidRDefault="004D60DD"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C16318" w:rsidRPr="00EC14DE">
        <w:rPr>
          <w:rFonts w:cs="Times New Roman"/>
          <w:szCs w:val="22"/>
        </w:rPr>
        <w:t>Risorse per vaccini anti SARS-CoV-2</w:t>
      </w:r>
      <w:r w:rsidR="00E132D1" w:rsidRPr="00EC14DE">
        <w:rPr>
          <w:rFonts w:cs="Times New Roman"/>
          <w:szCs w:val="22"/>
        </w:rPr>
        <w:t xml:space="preserve"> e per farmaci per la cura del COVID-19</w:t>
      </w:r>
      <w:r w:rsidR="005B2F5B" w:rsidRPr="00EC14DE">
        <w:rPr>
          <w:rFonts w:cs="Times New Roman"/>
          <w:szCs w:val="22"/>
        </w:rPr>
        <w:t xml:space="preserve"> e </w:t>
      </w:r>
      <w:r w:rsidR="005B2F5B" w:rsidRPr="00EC14DE">
        <w:rPr>
          <w:shd w:val="clear" w:color="auto" w:fill="FFFFFF"/>
        </w:rPr>
        <w:t>Continuità operativa del sistema di allerta COVID</w:t>
      </w:r>
      <w:r w:rsidRPr="00EC14DE">
        <w:t>)</w:t>
      </w:r>
    </w:p>
    <w:p w14:paraId="2734D2F6" w14:textId="77777777" w:rsidR="00C16318" w:rsidRPr="00EC14DE" w:rsidRDefault="000B702A" w:rsidP="007C594F">
      <w:pPr>
        <w:widowControl w:val="0"/>
        <w:rPr>
          <w:rFonts w:eastAsia="Times New Roman" w:cs="Times New Roman"/>
        </w:rPr>
      </w:pPr>
      <w:r w:rsidRPr="00EC14DE">
        <w:rPr>
          <w:rFonts w:eastAsia="Times New Roman" w:cs="Times New Roman"/>
        </w:rPr>
        <w:t>1. Il fondo di cui all'articolo 1, comma 447, della legge 30 dicembre 2020, n. 178 è incrementato di 1.850 milioni di euro per l’anno 2022 da destinare all'acqui</w:t>
      </w:r>
      <w:r w:rsidR="005B526A" w:rsidRPr="00EC14DE">
        <w:rPr>
          <w:rFonts w:eastAsia="Times New Roman" w:cs="Times New Roman"/>
        </w:rPr>
        <w:t>sto dei vaccini anti SARS-CoV-2 2 e dei farmaci per la cura dei pazienti con COVID-19.</w:t>
      </w:r>
    </w:p>
    <w:p w14:paraId="308DF5E5" w14:textId="77777777" w:rsidR="00C16318" w:rsidRPr="00EC14DE" w:rsidRDefault="005B2F5B" w:rsidP="007C594F">
      <w:pPr>
        <w:widowControl w:val="0"/>
        <w:rPr>
          <w:rFonts w:eastAsia="Times New Roman"/>
          <w:shd w:val="clear" w:color="auto" w:fill="FFFFFF"/>
        </w:rPr>
      </w:pPr>
      <w:r w:rsidRPr="00EC14DE">
        <w:rPr>
          <w:rFonts w:eastAsia="Times New Roman" w:cs="Times New Roman"/>
        </w:rPr>
        <w:t xml:space="preserve">2. </w:t>
      </w:r>
      <w:r w:rsidRPr="00EC14DE">
        <w:rPr>
          <w:rFonts w:eastAsia="Times New Roman"/>
          <w:shd w:val="clear" w:color="auto" w:fill="FFFFFF"/>
        </w:rPr>
        <w:t>All’articolo 6, comma 6, del decreto-legge 30 aprile 2020, n. 28, convertito, con modificazioni, dalla legge 25 giugno 2020, n. 70, le parole: “e comunque entro il 31 dicembre 2021, e comunque non oltre il 31 dicembre 2020” sono sostituite dalle seguenti: “e comunque entro il 31 dicembre 2022”.</w:t>
      </w:r>
    </w:p>
    <w:p w14:paraId="511F1374" w14:textId="77777777" w:rsidR="00FB7B5A" w:rsidRPr="00EC14DE" w:rsidRDefault="00AA124D" w:rsidP="007C594F">
      <w:pPr>
        <w:pStyle w:val="Titolo3"/>
        <w:keepNext w:val="0"/>
        <w:keepLines w:val="0"/>
        <w:widowControl w:val="0"/>
      </w:pPr>
      <w:r w:rsidRPr="00EC14DE">
        <w:t>A</w:t>
      </w:r>
      <w:r w:rsidR="00FB7B5A" w:rsidRPr="00EC14DE">
        <w:t xml:space="preserve">RT. </w:t>
      </w:r>
      <w:r w:rsidR="00FB7B5A" w:rsidRPr="00EC14DE">
        <w:fldChar w:fldCharType="begin"/>
      </w:r>
      <w:r w:rsidR="00FB7B5A" w:rsidRPr="00EC14DE">
        <w:instrText xml:space="preserve"> AUTONUM  \* Arabic </w:instrText>
      </w:r>
      <w:r w:rsidR="00FB7B5A" w:rsidRPr="00EC14DE">
        <w:fldChar w:fldCharType="end"/>
      </w:r>
      <w:r w:rsidR="00FB7B5A" w:rsidRPr="00EC14DE">
        <w:br/>
        <w:t xml:space="preserve">(Edilizia sanitaria) </w:t>
      </w:r>
    </w:p>
    <w:p w14:paraId="303A2B00" w14:textId="77777777" w:rsidR="005B526A" w:rsidRPr="00EC14DE" w:rsidRDefault="005B526A" w:rsidP="005B526A">
      <w:pPr>
        <w:autoSpaceDE w:val="0"/>
        <w:autoSpaceDN w:val="0"/>
        <w:adjustRightInd w:val="0"/>
        <w:rPr>
          <w:rFonts w:cs="Times New Roman"/>
        </w:rPr>
      </w:pPr>
      <w:bookmarkStart w:id="84" w:name="_Toc86323101"/>
      <w:r w:rsidRPr="00EC14DE">
        <w:rPr>
          <w:rFonts w:cs="Times New Roman"/>
        </w:rPr>
        <w:t>1. Ai fini del finanziamento del programma pluriennale di interventi in materia di ristrutturazione edilizia e di ammodernamento tecnologico, l'importo fissato dall'articolo 20 della legge 11 marzo 1988, n. 67, rideterminato, da ultimo, in 32 miliardi di euro dall'articolo 1, comma 442, della legge 30 dicembre 2020, n. 178, è incrementato di ulteriori 2 miliardi di euro, fermo restando, per la sottoscrizione di accordi di programma con le regioni e per il trasferimento delle risorse, il limite annualmente definito in base alle effettive disponibilità del bilancio statale. La ripartizione dell'incremento di cui al presente comma avviene sulla base della composizione percentuale del fabbisogno sanitario regionale corrente previsto per l'anno 2021, tenuto conto dell'articolo 2, comma 109, della legge 23 dicembre 2009, n. 191, con decreto del Ministro della salute, di concerto con il Ministro dell’economia e delle finanze, fatte salve eventuali necessarie compensazioni in conseguenza di eventuali rimodulazioni di cui al comma 5. L'accesso alle risorse di cui al presente comma è destinato prioritariamente alle regioni che abbiano esaurito, con la sottoscrizione di accordi, la propria disponibilità a valere sui citati 32 miliardi di euro.</w:t>
      </w:r>
    </w:p>
    <w:p w14:paraId="42905B05" w14:textId="77777777" w:rsidR="005B526A" w:rsidRPr="00EC14DE" w:rsidRDefault="005B526A" w:rsidP="005B526A">
      <w:pPr>
        <w:autoSpaceDE w:val="0"/>
        <w:autoSpaceDN w:val="0"/>
        <w:adjustRightInd w:val="0"/>
        <w:rPr>
          <w:rFonts w:cs="Times New Roman"/>
        </w:rPr>
      </w:pPr>
      <w:r w:rsidRPr="00EC14DE">
        <w:rPr>
          <w:rFonts w:cs="Times New Roman"/>
        </w:rPr>
        <w:t xml:space="preserve">2. Al fine di costituire una scorta nazionale di dispositivi di protezione individuale (DPI), di mascherine chirurgiche, di reagenti e di kit di genotipizzazione, in coerenza con quanto previsto nel Piano strategico operativo nazionale di preparazione e risposta ad una pandemia influenzale (PanFlu) 2021-2023, è autorizzata la spesa di 860 milioni di euro a valere sul finanziamento del programma di edilizia sanitaria vigente. </w:t>
      </w:r>
    </w:p>
    <w:p w14:paraId="37009540" w14:textId="77777777" w:rsidR="005B526A" w:rsidRPr="00EC14DE" w:rsidRDefault="005B526A" w:rsidP="005B526A">
      <w:pPr>
        <w:autoSpaceDE w:val="0"/>
        <w:autoSpaceDN w:val="0"/>
        <w:adjustRightInd w:val="0"/>
        <w:rPr>
          <w:rFonts w:cs="Times New Roman"/>
        </w:rPr>
      </w:pPr>
      <w:r w:rsidRPr="00EC14DE">
        <w:rPr>
          <w:rFonts w:cs="Times New Roman"/>
        </w:rPr>
        <w:t xml:space="preserve">3. Per consentire lo sviluppo di sistemi informativi utili per la sorveglianza epidemiologica e virologica, nonché per l’acquisizione di strumentazioni utili a sostenere l’attività di ricerca e sviluppo correlata ad una fase di allerta pandemica, in coerenza con quanto previsto nel Piano strategico operativo nazionale di preparazione e risposta ad una pandemia influenzale (PanFlu) 2021-2023, è autorizzata la spesa di 42 milioni di euro a valere sul finanziamento del programma di edilizia sanitaria vigente. </w:t>
      </w:r>
    </w:p>
    <w:p w14:paraId="2C6A8833" w14:textId="77777777" w:rsidR="005B526A" w:rsidRPr="00EC14DE" w:rsidRDefault="005B526A" w:rsidP="005B526A">
      <w:pPr>
        <w:autoSpaceDE w:val="0"/>
        <w:autoSpaceDN w:val="0"/>
        <w:adjustRightInd w:val="0"/>
        <w:rPr>
          <w:rFonts w:cs="Times New Roman"/>
        </w:rPr>
      </w:pPr>
      <w:r w:rsidRPr="00EC14DE">
        <w:rPr>
          <w:rFonts w:cs="Times New Roman"/>
        </w:rPr>
        <w:t xml:space="preserve">4. Per le finalità di cui ai commi 2 e 3, con uno o più decreti del Ministro della salute, di concerto con il Ministro dell’economia e delle finanze, previa intesa sancita in sede di Conferenza permanente per i rapporti tra lo Stato, le Regioni e le Province autonome di Trento e di Bolzano, è definita la quota di spesa autorizzata per ciascuna regione e provincia autonoma, sulla base delle risultanze derivanti da una ricognizione effettuata con le medesime regioni e province autonome, anche in relazione alla dimensione dei rispettivi Servizi sanitari regionali e provinciali; all’onere di cui ai commi 2 e 3 si provvede, per le regioni, a valere sulle risorse vigenti, come ripartite ai sensi dell’ordinamento vigente; con i medesimi decreti di cui al presente comma si provvede, in deroga all’articolo 2, comma 109, della legge 23 dicembre 2009, n. 191, ad assegnare le risorse occorrenti alle Province di Trento e di Bolzano a valere sul finanziamento vigente ancora non ripartito. </w:t>
      </w:r>
    </w:p>
    <w:p w14:paraId="0DF7DF1A" w14:textId="77777777" w:rsidR="005B526A" w:rsidRPr="00EC14DE" w:rsidRDefault="005B526A" w:rsidP="005B526A">
      <w:pPr>
        <w:autoSpaceDE w:val="0"/>
        <w:autoSpaceDN w:val="0"/>
        <w:adjustRightInd w:val="0"/>
        <w:rPr>
          <w:rFonts w:cs="Times New Roman"/>
        </w:rPr>
      </w:pPr>
      <w:r w:rsidRPr="00EC14DE">
        <w:rPr>
          <w:rFonts w:cs="Times New Roman"/>
        </w:rPr>
        <w:t>5. Per le finalità di cui ai commi 2 e 3, con i decreti di cui al comma 4, ove necessario, si provvede alla rimodulazione delle quote assegnate alle regioni ai sensi dell’articolo 1, commi 442 e 443 e relativa Tabella di cui all’allegato B annesso, della legge 30 dicembre 2020, n. 178.</w:t>
      </w:r>
    </w:p>
    <w:p w14:paraId="7936A25D" w14:textId="77777777" w:rsidR="00D870EA" w:rsidRPr="00EC14DE" w:rsidRDefault="007C594F"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Fonts w:eastAsia="Times New Roman"/>
        </w:rPr>
        <w:t>(Proroga dei rapporti di lavoro flessibile e stabilizzazione del personale del ruolo sanitario)</w:t>
      </w:r>
      <w:bookmarkStart w:id="85" w:name="_Toc86323102"/>
      <w:bookmarkEnd w:id="84"/>
    </w:p>
    <w:p w14:paraId="3FFFB349" w14:textId="77777777" w:rsidR="005B526A" w:rsidRPr="00EC14DE" w:rsidRDefault="005B526A" w:rsidP="005B526A">
      <w:pPr>
        <w:rPr>
          <w:rFonts w:cs="Times New Roman"/>
        </w:rPr>
      </w:pPr>
      <w:r w:rsidRPr="00EC14DE">
        <w:rPr>
          <w:rFonts w:cs="Times New Roman"/>
        </w:rPr>
        <w:t xml:space="preserve">1. Al fine di rafforzare strutturalmente i servizi sanitari regionali </w:t>
      </w:r>
      <w:r w:rsidR="00FF0DD6" w:rsidRPr="00EC14DE">
        <w:rPr>
          <w:rFonts w:cs="Times New Roman"/>
        </w:rPr>
        <w:t xml:space="preserve">anche per il recupero delle liste d’attesa </w:t>
      </w:r>
      <w:r w:rsidR="00FD5FE9" w:rsidRPr="00EC14DE">
        <w:rPr>
          <w:rFonts w:cs="Times New Roman"/>
        </w:rPr>
        <w:t xml:space="preserve">e di </w:t>
      </w:r>
      <w:r w:rsidRPr="00EC14DE">
        <w:rPr>
          <w:rFonts w:cs="Times New Roman"/>
        </w:rPr>
        <w:t>consentire la valorizzazione della professionalità acquisita dal personale che ha prestato servizio anche durante la predetta emergenza, gli enti del Servizio sanitario nazionale, nei limiti di spesa consentiti per il personale degli enti del Servizio sanitario nazionale dall'</w:t>
      </w:r>
      <w:hyperlink r:id="rId12" w:history="1">
        <w:r w:rsidRPr="00EC14DE">
          <w:rPr>
            <w:rStyle w:val="linkneltesto"/>
            <w:rFonts w:cs="Times New Roman"/>
          </w:rPr>
          <w:t>articolo 11, comma 1, del decreto-legge 30 aprile 2019, n. 35</w:t>
        </w:r>
      </w:hyperlink>
      <w:r w:rsidRPr="00EC14DE">
        <w:rPr>
          <w:rFonts w:cs="Times New Roman"/>
          <w:i/>
          <w:iCs/>
        </w:rPr>
        <w:t xml:space="preserve">, </w:t>
      </w:r>
      <w:r w:rsidRPr="00EC14DE">
        <w:rPr>
          <w:rFonts w:cs="Times New Roman"/>
        </w:rPr>
        <w:t>convertito, con modificazioni, dalla</w:t>
      </w:r>
      <w:r w:rsidRPr="00EC14DE">
        <w:rPr>
          <w:rFonts w:cs="Times New Roman"/>
          <w:i/>
          <w:iCs/>
        </w:rPr>
        <w:t xml:space="preserve"> </w:t>
      </w:r>
      <w:hyperlink r:id="rId13" w:history="1">
        <w:r w:rsidRPr="00EC14DE">
          <w:rPr>
            <w:rStyle w:val="linkneltesto"/>
            <w:rFonts w:cs="Times New Roman"/>
          </w:rPr>
          <w:t>legge 25 giugno 2019, n. 60</w:t>
        </w:r>
      </w:hyperlink>
      <w:r w:rsidRPr="00EC14DE">
        <w:rPr>
          <w:rStyle w:val="linkneltesto"/>
          <w:rFonts w:cs="Times New Roman"/>
        </w:rPr>
        <w:t>, come modificato ai sensi del comma 2</w:t>
      </w:r>
      <w:r w:rsidRPr="00EC14DE">
        <w:rPr>
          <w:rFonts w:cs="Times New Roman"/>
        </w:rPr>
        <w:t>:</w:t>
      </w:r>
    </w:p>
    <w:p w14:paraId="4F8DC7C4" w14:textId="77777777" w:rsidR="005B526A" w:rsidRPr="00EC14DE" w:rsidRDefault="005B526A" w:rsidP="000831E3">
      <w:pPr>
        <w:pStyle w:val="Paragrafoelenco"/>
        <w:numPr>
          <w:ilvl w:val="0"/>
          <w:numId w:val="39"/>
        </w:numPr>
        <w:spacing w:line="240" w:lineRule="auto"/>
        <w:ind w:left="357" w:hanging="357"/>
        <w:jc w:val="both"/>
        <w:rPr>
          <w:rFonts w:ascii="Times New Roman" w:hAnsi="Times New Roman" w:cs="Times New Roman"/>
        </w:rPr>
      </w:pPr>
      <w:r w:rsidRPr="00EC14DE">
        <w:rPr>
          <w:rFonts w:ascii="Times New Roman" w:hAnsi="Times New Roman" w:cs="Times New Roman"/>
        </w:rPr>
        <w:t>verificata l’impossibilità di utilizzare personale già in servizio, nonché di ricorrere agli idonei collocati in graduatorie concorsuali in vigore, possono avvalersi, anche nell’anno 2022, delle misure previste dall’articolo 2-</w:t>
      </w:r>
      <w:r w:rsidRPr="00EC14DE">
        <w:rPr>
          <w:rFonts w:ascii="Times New Roman" w:hAnsi="Times New Roman" w:cs="Times New Roman"/>
          <w:i/>
          <w:iCs/>
        </w:rPr>
        <w:t>bis</w:t>
      </w:r>
      <w:r w:rsidRPr="00EC14DE">
        <w:rPr>
          <w:rFonts w:ascii="Times New Roman" w:hAnsi="Times New Roman" w:cs="Times New Roman"/>
        </w:rPr>
        <w:t xml:space="preserve">, limitatamente ai medici specializzandi di cui al comma 1, lettera a), del medesimo articolo, e dall’articolo </w:t>
      </w:r>
      <w:hyperlink r:id="rId14" w:history="1">
        <w:r w:rsidRPr="00EC14DE">
          <w:rPr>
            <w:rFonts w:ascii="Times New Roman" w:hAnsi="Times New Roman" w:cs="Times New Roman"/>
          </w:rPr>
          <w:t>2-ter, commi 1 e 5, del decreto-legge 17 marzo 2020, n. 18</w:t>
        </w:r>
      </w:hyperlink>
      <w:r w:rsidRPr="00EC14DE">
        <w:rPr>
          <w:rFonts w:ascii="Times New Roman" w:hAnsi="Times New Roman" w:cs="Times New Roman"/>
        </w:rPr>
        <w:t>, convertito, con modificazioni, dalla </w:t>
      </w:r>
      <w:hyperlink r:id="rId15" w:history="1">
        <w:r w:rsidRPr="00EC14DE">
          <w:rPr>
            <w:rFonts w:ascii="Times New Roman" w:hAnsi="Times New Roman" w:cs="Times New Roman"/>
          </w:rPr>
          <w:t>legge 24 aprile 2020, n. 27</w:t>
        </w:r>
      </w:hyperlink>
      <w:r w:rsidRPr="00EC14DE">
        <w:rPr>
          <w:rFonts w:ascii="Times New Roman" w:hAnsi="Times New Roman" w:cs="Times New Roman"/>
        </w:rPr>
        <w:t>, anche mediante proroga, non oltre il 31 dicembre 2022, degli incarichi conferiti ai sensi delle medesime disposizioni;</w:t>
      </w:r>
    </w:p>
    <w:p w14:paraId="0D3598A7" w14:textId="77777777" w:rsidR="005B526A" w:rsidRPr="00EC14DE" w:rsidRDefault="005B526A" w:rsidP="000831E3">
      <w:pPr>
        <w:pStyle w:val="Paragrafoelenco"/>
        <w:numPr>
          <w:ilvl w:val="0"/>
          <w:numId w:val="39"/>
        </w:numPr>
        <w:spacing w:line="240" w:lineRule="auto"/>
        <w:ind w:left="357" w:hanging="357"/>
        <w:jc w:val="both"/>
        <w:rPr>
          <w:rFonts w:ascii="Times New Roman" w:hAnsi="Times New Roman" w:cs="Times New Roman"/>
        </w:rPr>
      </w:pPr>
      <w:r w:rsidRPr="00EC14DE">
        <w:rPr>
          <w:rFonts w:ascii="Times New Roman" w:hAnsi="Times New Roman" w:cs="Times New Roman"/>
        </w:rPr>
        <w:t>ferma restando l’applicazione dell’articolo 20 del decreto legislativo 25 maggio 2017, n. 75,  dal 1° luglio 2022 e fino al 31 dicembre 2023 possono assumere a tempo indeterminato, in coerenza con il piano triennale dei fabbisogni di personale, il personale del ruolo sanitario e gli operatori socio sanitari che siano stati reclutati a tempo determinato con procedure concorsuali, ivi incluse le selezioni di cui all’art. 2-ter del decreto-legge 17 marzo 2020, n. 18, convertito</w:t>
      </w:r>
      <w:r w:rsidR="00B14D81" w:rsidRPr="00EC14DE">
        <w:rPr>
          <w:rFonts w:ascii="Times New Roman" w:hAnsi="Times New Roman" w:cs="Times New Roman"/>
        </w:rPr>
        <w:t xml:space="preserve">, con modificazioni, </w:t>
      </w:r>
      <w:r w:rsidRPr="00EC14DE">
        <w:rPr>
          <w:rFonts w:ascii="Times New Roman" w:hAnsi="Times New Roman" w:cs="Times New Roman"/>
        </w:rPr>
        <w:t>dalla legge 24 aprile 2020, n. 27, e che abbiano maturato al 30 giugno 2022 alle dipendenze di un ente del servizio sanitario nazionale almeno 18 mesi di servizio, anche non continuativi, di cui almeno 6 mesi nel periodo intercorrente tra il 31 gennaio 2020 e il 30 giugno 2022, secondo criteri di priorità definiti da ciascuna regione. Alle iniziative di stabilizzazione del personale assunto mediante procedure diverse da quelle sopra indicate si provvede previo espletamento di prove selettive.</w:t>
      </w:r>
    </w:p>
    <w:p w14:paraId="5C2DE81A" w14:textId="77777777" w:rsidR="005B526A" w:rsidRPr="00EC14DE" w:rsidRDefault="005B526A" w:rsidP="005B526A">
      <w:pPr>
        <w:rPr>
          <w:rStyle w:val="linkneltesto"/>
          <w:rFonts w:cs="Times New Roman"/>
          <w:i w:val="0"/>
        </w:rPr>
      </w:pPr>
      <w:r w:rsidRPr="00EC14DE">
        <w:rPr>
          <w:rFonts w:cs="Times New Roman"/>
        </w:rPr>
        <w:t>2. Al comma 1 dell’</w:t>
      </w:r>
      <w:hyperlink r:id="rId16" w:history="1">
        <w:r w:rsidRPr="00EC14DE">
          <w:rPr>
            <w:rFonts w:cs="Times New Roman"/>
          </w:rPr>
          <w:t>articolo 11 del decreto-legge 30 aprile 2019, n. 35</w:t>
        </w:r>
      </w:hyperlink>
      <w:r w:rsidRPr="00EC14DE">
        <w:rPr>
          <w:rFonts w:cs="Times New Roman"/>
        </w:rPr>
        <w:t xml:space="preserve">, convertito, con modificazioni, dalla </w:t>
      </w:r>
      <w:hyperlink r:id="rId17" w:history="1">
        <w:r w:rsidRPr="00EC14DE">
          <w:rPr>
            <w:rFonts w:cs="Times New Roman"/>
          </w:rPr>
          <w:t>legge 25 giugno 2019, n. 60</w:t>
        </w:r>
      </w:hyperlink>
      <w:r w:rsidRPr="00EC14DE">
        <w:rPr>
          <w:rFonts w:cs="Times New Roman"/>
        </w:rPr>
        <w:t>, sono apportate le seguenti modificazioni</w:t>
      </w:r>
      <w:r w:rsidRPr="00EC14DE">
        <w:rPr>
          <w:rStyle w:val="linkneltesto"/>
          <w:rFonts w:cs="Times New Roman"/>
          <w:i w:val="0"/>
        </w:rPr>
        <w:t>:</w:t>
      </w:r>
    </w:p>
    <w:p w14:paraId="682E1871" w14:textId="77777777" w:rsidR="005B526A" w:rsidRPr="00EC14DE" w:rsidRDefault="005B526A" w:rsidP="00FD5FE9">
      <w:pPr>
        <w:pStyle w:val="Paragrafoelenco"/>
        <w:ind w:left="284"/>
        <w:jc w:val="both"/>
        <w:rPr>
          <w:rFonts w:ascii="Times New Roman" w:hAnsi="Times New Roman" w:cs="Times New Roman"/>
        </w:rPr>
      </w:pPr>
      <w:r w:rsidRPr="00EC14DE">
        <w:rPr>
          <w:rStyle w:val="linkneltesto"/>
          <w:rFonts w:ascii="Times New Roman" w:hAnsi="Times New Roman" w:cs="Times New Roman"/>
          <w:i w:val="0"/>
        </w:rPr>
        <w:t>a)</w:t>
      </w:r>
      <w:r w:rsidRPr="00EC14DE">
        <w:rPr>
          <w:rFonts w:ascii="Times New Roman" w:hAnsi="Times New Roman" w:cs="Times New Roman"/>
        </w:rPr>
        <w:t xml:space="preserve"> al secondo periodo le parole “un importo pari al 5 per cento” sono sostituite dalle seguenti: “un importo pari al 10 per cento”;</w:t>
      </w:r>
    </w:p>
    <w:p w14:paraId="4B6C8F93" w14:textId="77777777" w:rsidR="005B526A" w:rsidRPr="00EC14DE" w:rsidRDefault="005B526A" w:rsidP="00FD5FE9">
      <w:pPr>
        <w:pStyle w:val="Paragrafoelenco"/>
        <w:ind w:left="284"/>
        <w:jc w:val="both"/>
        <w:rPr>
          <w:rFonts w:ascii="Times New Roman" w:eastAsia="Times New Roman" w:hAnsi="Times New Roman" w:cs="Times New Roman"/>
          <w:lang w:eastAsia="it-IT"/>
        </w:rPr>
      </w:pPr>
      <w:r w:rsidRPr="00EC14DE">
        <w:rPr>
          <w:rFonts w:ascii="Times New Roman" w:hAnsi="Times New Roman" w:cs="Times New Roman"/>
        </w:rPr>
        <w:t xml:space="preserve">b) al </w:t>
      </w:r>
      <w:r w:rsidR="002D11D2" w:rsidRPr="00EC14DE">
        <w:rPr>
          <w:rFonts w:ascii="Times New Roman" w:hAnsi="Times New Roman" w:cs="Times New Roman"/>
        </w:rPr>
        <w:t>quarto</w:t>
      </w:r>
      <w:r w:rsidR="00FD5FE9" w:rsidRPr="00EC14DE">
        <w:rPr>
          <w:rFonts w:ascii="Times New Roman" w:hAnsi="Times New Roman" w:cs="Times New Roman"/>
        </w:rPr>
        <w:t xml:space="preserve"> </w:t>
      </w:r>
      <w:r w:rsidRPr="00EC14DE">
        <w:rPr>
          <w:rFonts w:ascii="Times New Roman" w:hAnsi="Times New Roman" w:cs="Times New Roman"/>
        </w:rPr>
        <w:t>periodo le parole “Per il medesimo triennio q</w:t>
      </w:r>
      <w:r w:rsidRPr="00EC14DE">
        <w:rPr>
          <w:rFonts w:ascii="Times New Roman" w:eastAsia="Times New Roman" w:hAnsi="Times New Roman" w:cs="Times New Roman"/>
          <w:lang w:eastAsia="it-IT"/>
        </w:rPr>
        <w:t>ualora nella singola Regione emergano oggettivi” sono sostituite dalle seguenti “Qualora nella singola Regione emergano, sulla base della metodologia di cui al sesto periodo, oggettivi”;</w:t>
      </w:r>
    </w:p>
    <w:p w14:paraId="1ECCE328" w14:textId="77777777" w:rsidR="00FD5FE9" w:rsidRPr="00EC14DE" w:rsidRDefault="000C6F29" w:rsidP="000C6F29">
      <w:pPr>
        <w:pStyle w:val="Paragrafoelenco"/>
        <w:spacing w:line="240" w:lineRule="auto"/>
        <w:ind w:left="284"/>
        <w:jc w:val="both"/>
        <w:rPr>
          <w:rFonts w:ascii="Times New Roman" w:hAnsi="Times New Roman" w:cs="Times New Roman"/>
        </w:rPr>
      </w:pPr>
      <w:r w:rsidRPr="00EC14DE">
        <w:rPr>
          <w:rFonts w:ascii="Times New Roman" w:hAnsi="Times New Roman" w:cs="Times New Roman"/>
        </w:rPr>
        <w:t xml:space="preserve">c) il sesto periodo è sostituito dal seguente: “Dall’anno 2022 l’incremento di cui al quarto periodo è subordinato all’adozione di una metodologia per la determinazione del fabbisogno di personale degli enti del Servizio sanitario nazionale. Entro 180 giorni dall’entrata in vigore della presente legge il Ministro della salute, di concerto con il Ministro dell’ Economia e delle finanze, previa intesa in sede di Conferenza permanente per i rapporti tra lo Stato, le regioni e le province autonome di Trento e di Bolzano, su proposta dell’Agenzia nazionale per i servizi sanitari regionali, </w:t>
      </w:r>
      <w:r w:rsidR="00BC2456" w:rsidRPr="00EC14DE">
        <w:rPr>
          <w:rFonts w:ascii="Times New Roman" w:hAnsi="Times New Roman" w:cs="Times New Roman"/>
        </w:rPr>
        <w:t xml:space="preserve">nel rispetto del valore complessivo della spesa di personale del Servizio sanitario nazionale determinata ai sensi dei precedenti periodi, </w:t>
      </w:r>
      <w:r w:rsidRPr="00EC14DE">
        <w:rPr>
          <w:rFonts w:ascii="Times New Roman" w:hAnsi="Times New Roman" w:cs="Times New Roman"/>
        </w:rPr>
        <w:t>adotta con decreto la suddetta metodologia per la determinazione del fabbisogno di personale degli enti del Servizio sanitario nazionale, in coerenza con quanto stabilito dal decreto ministeriale 2 aprile 2015, n. 70, e con l'articolo 1, comma 516, lettera c), della legge 30 dicembre 2018, n. 145 e con gli standard organizzativi, tecnologici e quantitativi relativi all'assistenza territoriale, anche ai fini di una graduale revisione della disciplina assunzionale di cui al presente articolo. Le regioni sulla base della predetta metodologia predispongono il piano dei fabbisogni triennali per il servizio sanitario regionale che sono valutati e approvati dal tavolo di verifica degli adempimenti di cui all’articolo 12, comma 1, dell’intesa n. 2271 sancita in data 23 marzo 2005 dalla Conferenza permanente per i rapporti tra lo Stato, le regioni e le province autonome di Trento e di Bolzano, congiuntamente al Comitato permanente per la verifica dell’erogazione dei LEA di cui all’articolo 9, comma 1, della medesima intesa anche al fine di salvaguardare l’invarianza della spesa complessiva.”</w:t>
      </w:r>
    </w:p>
    <w:p w14:paraId="35332676" w14:textId="77777777" w:rsidR="00851130" w:rsidRPr="00EC14DE" w:rsidRDefault="005B526A" w:rsidP="005B526A">
      <w:r w:rsidRPr="00EC14DE">
        <w:t xml:space="preserve"> “3. Le disposizioni di cui alle lettere a) e b) del comma 1 del presente articolo possono essere applicate, nell’ambito delle risorse dei rispettivi bilanci anche dalle regioni e dalle province autonome che provvedono al finanziamento del fabbisogno del Servizio Sanitario Nazionale senza alcun apporto a c</w:t>
      </w:r>
      <w:r w:rsidR="000C6F29" w:rsidRPr="00EC14DE">
        <w:t>arico del bilancio dello Stato.</w:t>
      </w:r>
    </w:p>
    <w:p w14:paraId="065747CD" w14:textId="77777777" w:rsidR="005F2F76" w:rsidRPr="00EC14DE" w:rsidRDefault="0010215A" w:rsidP="005F55CF">
      <w:pPr>
        <w:pStyle w:val="Titolo3"/>
      </w:pPr>
      <w:bookmarkStart w:id="86" w:name="_Toc86422393"/>
      <w:bookmarkStart w:id="87" w:name="_Toc86323103"/>
      <w:bookmarkEnd w:id="85"/>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Fonts w:eastAsia="Times New Roman"/>
        </w:rPr>
        <w:t>(</w:t>
      </w:r>
      <w:r w:rsidR="00993B8B" w:rsidRPr="00EC14DE">
        <w:rPr>
          <w:bCs/>
          <w:iCs/>
          <w:lang w:eastAsia="it-IT"/>
        </w:rPr>
        <w:t xml:space="preserve">Rafforzamento </w:t>
      </w:r>
      <w:r w:rsidRPr="00EC14DE">
        <w:rPr>
          <w:bCs/>
          <w:iCs/>
          <w:lang w:eastAsia="it-IT"/>
        </w:rPr>
        <w:t>dell’assistenza territoriale</w:t>
      </w:r>
      <w:r w:rsidR="00993B8B" w:rsidRPr="00EC14DE">
        <w:rPr>
          <w:bCs/>
          <w:iCs/>
          <w:lang w:eastAsia="it-IT"/>
        </w:rPr>
        <w:t xml:space="preserve">, </w:t>
      </w:r>
      <w:r w:rsidR="00975B7F" w:rsidRPr="00EC14DE">
        <w:t>dell’attività</w:t>
      </w:r>
      <w:r w:rsidR="00975B7F" w:rsidRPr="00EC14DE">
        <w:rPr>
          <w:bCs/>
          <w:iCs/>
          <w:lang w:eastAsia="it-IT"/>
        </w:rPr>
        <w:t xml:space="preserve"> di prevenzione </w:t>
      </w:r>
      <w:r w:rsidR="002C5725" w:rsidRPr="00EC14DE">
        <w:t>contro i tumori</w:t>
      </w:r>
      <w:r w:rsidR="00993B8B" w:rsidRPr="00EC14DE">
        <w:t>,</w:t>
      </w:r>
      <w:r w:rsidR="002C5725" w:rsidRPr="00EC14DE">
        <w:rPr>
          <w:bCs/>
          <w:iCs/>
          <w:lang w:eastAsia="it-IT"/>
        </w:rPr>
        <w:t xml:space="preserve"> </w:t>
      </w:r>
      <w:r w:rsidR="00D2015A" w:rsidRPr="00EC14DE">
        <w:rPr>
          <w:bCs/>
          <w:iCs/>
          <w:lang w:eastAsia="it-IT"/>
        </w:rPr>
        <w:t xml:space="preserve">nonché </w:t>
      </w:r>
      <w:r w:rsidR="00D2015A" w:rsidRPr="00EC14DE">
        <w:t>m</w:t>
      </w:r>
      <w:r w:rsidRPr="00EC14DE">
        <w:t xml:space="preserve">odifiche all’articolo 7 del decreto legislativo C.P.S. 13 </w:t>
      </w:r>
      <w:r w:rsidRPr="00EC14DE">
        <w:rPr>
          <w:bCs/>
        </w:rPr>
        <w:t>settembre</w:t>
      </w:r>
      <w:r w:rsidRPr="00EC14DE">
        <w:t xml:space="preserve"> 1946, n. 233</w:t>
      </w:r>
      <w:r w:rsidR="005F2F76" w:rsidRPr="00EC14DE">
        <w:t>)</w:t>
      </w:r>
    </w:p>
    <w:bookmarkEnd w:id="86"/>
    <w:p w14:paraId="5D6A2929" w14:textId="77777777" w:rsidR="003D53F9" w:rsidRPr="00EC14DE" w:rsidRDefault="00F56FCA" w:rsidP="005F55CF">
      <w:pPr>
        <w:pStyle w:val="wordsection1"/>
        <w:jc w:val="both"/>
        <w:rPr>
          <w:sz w:val="22"/>
          <w:szCs w:val="22"/>
        </w:rPr>
      </w:pPr>
      <w:r w:rsidRPr="00EC14DE">
        <w:rPr>
          <w:sz w:val="22"/>
          <w:szCs w:val="22"/>
        </w:rPr>
        <w:t xml:space="preserve">1. Al fine di assicurare l’implementazione degli standard organizzativi, quantitativi, qualitativi e tecnologici </w:t>
      </w:r>
      <w:r w:rsidR="00101CB2" w:rsidRPr="00EC14DE">
        <w:rPr>
          <w:sz w:val="22"/>
          <w:szCs w:val="22"/>
        </w:rPr>
        <w:t xml:space="preserve">ulteriori </w:t>
      </w:r>
      <w:r w:rsidRPr="00EC14DE">
        <w:rPr>
          <w:sz w:val="22"/>
          <w:szCs w:val="22"/>
        </w:rPr>
        <w:t>rispetto a quelli previsti dal Piano nazionale di ripresa e resilienza per il potenziamento dell’assistenza territoriale, con riferimento ai maggiori oneri per spesa di personale dipendente, da reclutare anche in deroga ai vincoli in materia di spesa di personale previsti dalla legislazione vigente limitatamente alla spesa eccedente i predetti vincoli e, per quello convenzionato, è autorizzata la spesa massima di 90,9 milioni per l’anno 2022, 150,1 milioni per l’anno 2023, 328,3 milioni per l’anno 2024, 591,5 milioni per l’anno 2025 e 1.015,3 milioni a decorrere dall’anno 2026 a valere sul finanziamento del Servizio sanitario nazionale. La predetta autorizzazione decorre dall’entrata in vigore del regolamento per la definizione di standard organizzativi, quantitativi, qualitativi, tecnologici e omogenei per l’assistenza territoriale, da emanare con decreto del Ministro della salute, di concerto con il Ministro dell’economia e delle finanze entro il 30 aprile 2022. Con successivo decreto del Ministro della salute di concerto con il Ministro dell’economia e delle finanze le somme di cui al primo periodo sono ripartite fra le regioni e le province autonome, in base ai criteri definiti con il medesimo decreto anche tenendo conto degli obiettivi previsti dal PNRR.</w:t>
      </w:r>
    </w:p>
    <w:p w14:paraId="4CB9F1BF" w14:textId="77777777" w:rsidR="00BF632C" w:rsidRPr="00EC14DE" w:rsidRDefault="003D53F9" w:rsidP="005F55CF">
      <w:pPr>
        <w:widowControl w:val="0"/>
        <w:rPr>
          <w:rFonts w:cs="Times New Roman"/>
        </w:rPr>
      </w:pPr>
      <w:r w:rsidRPr="00EC14DE">
        <w:rPr>
          <w:rFonts w:cs="Times New Roman"/>
        </w:rPr>
        <w:t>2</w:t>
      </w:r>
      <w:r w:rsidR="00BF632C" w:rsidRPr="00EC14DE">
        <w:rPr>
          <w:rFonts w:cs="Times New Roman"/>
        </w:rPr>
        <w:t>.</w:t>
      </w:r>
      <w:r w:rsidR="002C5725" w:rsidRPr="00EC14DE">
        <w:rPr>
          <w:rFonts w:cs="Times New Roman"/>
        </w:rPr>
        <w:t xml:space="preserve"> </w:t>
      </w:r>
      <w:r w:rsidR="00BF632C" w:rsidRPr="00EC14DE">
        <w:rPr>
          <w:rFonts w:cs="Times New Roman"/>
        </w:rPr>
        <w:t xml:space="preserve">Al fine di sostenere le fondamentali attività di prevenzione oncologica della Lega italiana per la lotta contro i tumori (LILT) nonché delle connesse attività di natura socio-sanitaria e riabilitativa è riconosciuto alla medesima Lega un contributo pari a 2 milioni di euro annui a decorrere dall’anno 2022. </w:t>
      </w:r>
    </w:p>
    <w:p w14:paraId="147BFCCA" w14:textId="77777777" w:rsidR="00EA0E41" w:rsidRPr="00EC14DE" w:rsidRDefault="003D53F9" w:rsidP="005F55CF">
      <w:pPr>
        <w:widowControl w:val="0"/>
        <w:rPr>
          <w:rFonts w:cs="Times New Roman"/>
          <w:bCs/>
          <w:iCs/>
        </w:rPr>
      </w:pPr>
      <w:r w:rsidRPr="00EC14DE">
        <w:rPr>
          <w:rFonts w:cs="Times New Roman"/>
          <w:bCs/>
          <w:iCs/>
        </w:rPr>
        <w:t>3</w:t>
      </w:r>
      <w:r w:rsidR="00EA0E41" w:rsidRPr="00EC14DE">
        <w:rPr>
          <w:rFonts w:cs="Times New Roman"/>
          <w:bCs/>
          <w:iCs/>
        </w:rPr>
        <w:t xml:space="preserve">. All’articolo 7, comma 2, del </w:t>
      </w:r>
      <w:r w:rsidR="00EA0E41" w:rsidRPr="00EC14DE">
        <w:rPr>
          <w:rFonts w:eastAsia="Times New Roman" w:cs="Times New Roman"/>
          <w:bCs/>
          <w:lang w:eastAsia="it-IT"/>
        </w:rPr>
        <w:t xml:space="preserve">decreto Legislativo del Capo Provvisorio dello Stato 13 settembre 1946, n. 233, </w:t>
      </w:r>
      <w:r w:rsidR="00EA0E41" w:rsidRPr="00EC14DE">
        <w:rPr>
          <w:rFonts w:cs="Times New Roman"/>
          <w:bCs/>
          <w:iCs/>
        </w:rPr>
        <w:t>sono aggiunte in fine le seguenti parole: “, nonché di organizzazione e gestione di una rete unitaria di connessione, interoperabilità e software alla quale i predetti Ordini e Federazioni regionali obbligatoriamente aderiscono concorrendo ai relativi oneri”.</w:t>
      </w:r>
    </w:p>
    <w:p w14:paraId="739D8109" w14:textId="77777777" w:rsidR="007C594F" w:rsidRPr="00EC14DE" w:rsidRDefault="007C594F" w:rsidP="007C594F">
      <w:pPr>
        <w:pStyle w:val="Titolo3"/>
        <w:keepNext w:val="0"/>
        <w:keepLines w:val="0"/>
        <w:widowControl w:val="0"/>
        <w:rPr>
          <w:rFonts w:eastAsia="Times New Roman"/>
        </w:rPr>
      </w:pPr>
      <w:bookmarkStart w:id="88" w:name="_Toc86323104"/>
      <w:bookmarkEnd w:id="87"/>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(Disposizioni in materia di liste di attesa</w:t>
      </w:r>
      <w:r w:rsidR="00C17262" w:rsidRPr="00EC14DE">
        <w:rPr>
          <w:rFonts w:eastAsia="Times New Roman"/>
        </w:rPr>
        <w:t xml:space="preserve"> Covid</w:t>
      </w:r>
      <w:r w:rsidRPr="00EC14DE">
        <w:rPr>
          <w:rFonts w:eastAsia="Times New Roman"/>
        </w:rPr>
        <w:t>)</w:t>
      </w:r>
      <w:bookmarkEnd w:id="88"/>
    </w:p>
    <w:p w14:paraId="7C6C2430" w14:textId="77777777" w:rsidR="006C2871" w:rsidRPr="00EC14DE" w:rsidRDefault="00634820" w:rsidP="006C2871">
      <w:r w:rsidRPr="00EC14DE">
        <w:t>1. Per garantire la piena attuazione del Piano di cui all'articolo 29 del decreto-legge 14 agosto 2020, n. 104, convertito, con modificazioni, dalla legge 13 ottobre 2020, n. 126, le disposizioni previste dall’articolo 26, commi 1 e 2, del decreto-legge 25 maggio 2021, n. 73, convertito con modificazioni dalla legge 23 luglio 2021, n. 106, sono prorogate fino al 31 dicembre 2022. Conseguentemente, le regioni e le province autonome rimodulano il piano per le liste d’attesa adottato ai sensi dell’articolo 29 del decreto-legge 14 agosto 2020, n. 104, convertito con modificazioni dalla legge 13 ottobre 2020, n.126 e successivamente aggiornato ai sensi dell’articolo 26, comma 2 del decreto-legge 25 maggio 2021, n. 73, convertito con modificazioni dalla legge 23 luglio 2021, n. 106 e lo presentano entro il 31 gennaio 2022 al Ministero della salute e al Ministero dell’economia e delle finanze.</w:t>
      </w:r>
    </w:p>
    <w:p w14:paraId="5BB53142" w14:textId="77777777" w:rsidR="006C2871" w:rsidRPr="00EC14DE" w:rsidRDefault="00634820" w:rsidP="006C2871">
      <w:r w:rsidRPr="00EC14DE">
        <w:t xml:space="preserve">2. Per il raggiungimento delle finalità di cui al comma 1, le regioni e le province autonome possono coinvolgere anche le strutture private accreditate, in deroga all'articolo 15, comma 14, primo periodo, del decreto-legge 6 luglio 2012, n. 95, convertito, con modificazioni, dalla legge 7 agosto 2012, n. 135, per un ammontare non superiore all’importo complessivo su base nazionale pari a </w:t>
      </w:r>
      <w:r w:rsidR="00895A1D" w:rsidRPr="00EC14DE">
        <w:t>150</w:t>
      </w:r>
      <w:r w:rsidRPr="00EC14DE">
        <w:t xml:space="preserve"> milioni di eur</w:t>
      </w:r>
      <w:r w:rsidR="00907BE7" w:rsidRPr="00EC14DE">
        <w:t xml:space="preserve">o, ripartito come indicato </w:t>
      </w:r>
      <w:r w:rsidR="00907BE7" w:rsidRPr="00EC14DE">
        <w:rPr>
          <w:b/>
        </w:rPr>
        <w:t>nella Tabella A dell’</w:t>
      </w:r>
      <w:r w:rsidRPr="00EC14DE">
        <w:rPr>
          <w:b/>
        </w:rPr>
        <w:t>Allegato 3</w:t>
      </w:r>
      <w:r w:rsidRPr="00EC14DE">
        <w:t xml:space="preserve"> annesso alla presente legge, ed eventualmente incrementabile sulla base di specifiche esigenze regionali, nel limite della autorizzazione di spesa di cui al comma 3. Le medesime strutture private accreditate rendicontano entro il 31 gennaio 2023 alle rispettive regioni e province autonome le attività effettuate nell'ambito dell'incremento di budget assegnato per l’anno 2022, anche ai fini della valutazione della deroga di cui al presente comma.</w:t>
      </w:r>
    </w:p>
    <w:p w14:paraId="512F9980" w14:textId="77777777" w:rsidR="00AD22C3" w:rsidRPr="00EC14DE" w:rsidRDefault="00634820" w:rsidP="006C2871">
      <w:r w:rsidRPr="00EC14DE">
        <w:t xml:space="preserve">3. Per l’attuazione delle finalità di cui ai commi 1 e 2 è autorizzata la spesa per complessivi 500 milioni di euro, a valere sul livello di finanziamento del fabbisogno sanitario nazionale standard cui concorre lo Stato per l’anno 2022. Tale autorizzazione di spesa include l’importo massimo di </w:t>
      </w:r>
      <w:r w:rsidR="00895A1D" w:rsidRPr="00EC14DE">
        <w:t xml:space="preserve">150 milioni di euro </w:t>
      </w:r>
      <w:r w:rsidRPr="00EC14DE">
        <w:t xml:space="preserve">di cui al comma 2. Al finanziamento di cui al presente articolo accedono tutte le regioni e province autonome di Trento e di Bolzano, in deroga alle disposizioni legislative che stabiliscono per le autonomie speciali il concorso regionale e provinciale al finanziamento sanitario corrente, secondo la ripartizione riportata </w:t>
      </w:r>
      <w:r w:rsidR="00907BE7" w:rsidRPr="00EC14DE">
        <w:rPr>
          <w:b/>
        </w:rPr>
        <w:t xml:space="preserve">nella Tabella B dell’Allegato 3 </w:t>
      </w:r>
      <w:r w:rsidR="00907BE7" w:rsidRPr="00EC14DE">
        <w:t>annesso</w:t>
      </w:r>
      <w:r w:rsidRPr="00EC14DE">
        <w:t xml:space="preserve"> alla presente legge.</w:t>
      </w:r>
      <w:r w:rsidR="006C2871" w:rsidRPr="00EC14DE">
        <w:t xml:space="preserve"> </w:t>
      </w:r>
    </w:p>
    <w:p w14:paraId="2A20AC40" w14:textId="77777777" w:rsidR="006C2871" w:rsidRPr="00EC14DE" w:rsidRDefault="00634820" w:rsidP="006C2871">
      <w:r w:rsidRPr="00EC14DE">
        <w:t>4. Il Ministero della salute verifica, sulla base di apposita relazione trasmessa dalle regioni e province autonome, il numero e la tipologia di prestazioni oggetto di recupero, in coerenza con il Piano rimodulato di cui all’articolo 26, comma 2 del decreto legge 25 maggio 2021, n. 73 convertito, con modificazioni, dalla legge 23 luglio 2021, n. 106, nei limiti massimi degli importi di cui al comma 3 impiegati per la finalità di cui al comma 1. Ove il Ministero della salute abbia positivamente verificato l’insussistenza del fabbisogno di recupero delle liste d’attesa di cui al comma 1, il finanziamento di cui al presente articolo o quota parte di esso rientra nella disponibilità del servizio sanitario della regione e provincia autonoma per lo svolgimento di altra finalità sanitaria.</w:t>
      </w:r>
    </w:p>
    <w:p w14:paraId="427CEA8B" w14:textId="77777777" w:rsidR="00690BCE" w:rsidRPr="00EC14DE" w:rsidRDefault="007C594F" w:rsidP="007C594F">
      <w:pPr>
        <w:pStyle w:val="Titolo3"/>
        <w:keepNext w:val="0"/>
        <w:keepLines w:val="0"/>
        <w:widowControl w:val="0"/>
        <w:rPr>
          <w:rFonts w:eastAsia="Times New Roman"/>
        </w:rPr>
      </w:pPr>
      <w:bookmarkStart w:id="89" w:name="_Toc86323105"/>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w:t>
      </w:r>
      <w:r w:rsidR="00CD71C9" w:rsidRPr="00EC14DE">
        <w:rPr>
          <w:rFonts w:eastAsia="Times New Roman"/>
        </w:rPr>
        <w:t xml:space="preserve">Aggiornamento tariffe </w:t>
      </w:r>
      <w:r w:rsidR="00CD71C9" w:rsidRPr="00EC14DE">
        <w:rPr>
          <w:rFonts w:cs="Times New Roman"/>
        </w:rPr>
        <w:t>massime per la remunerazione delle prestazioni di assistenza ospedaliera</w:t>
      </w:r>
      <w:r w:rsidRPr="00EC14DE">
        <w:rPr>
          <w:rFonts w:eastAsia="Times New Roman"/>
        </w:rPr>
        <w:t>)</w:t>
      </w:r>
      <w:bookmarkStart w:id="90" w:name="_Toc86323106"/>
      <w:bookmarkEnd w:id="89"/>
    </w:p>
    <w:p w14:paraId="4D3EA16D" w14:textId="77777777" w:rsidR="00690BCE" w:rsidRPr="00EC14DE" w:rsidRDefault="00CD71C9" w:rsidP="00690BCE">
      <w:pPr>
        <w:rPr>
          <w:rFonts w:cs="Times New Roman"/>
        </w:rPr>
      </w:pPr>
      <w:r w:rsidRPr="00EC14DE">
        <w:rPr>
          <w:rFonts w:cs="Times New Roman"/>
        </w:rPr>
        <w:t>1</w:t>
      </w:r>
      <w:r w:rsidR="00690BCE" w:rsidRPr="00EC14DE">
        <w:rPr>
          <w:rFonts w:cs="Times New Roman"/>
        </w:rPr>
        <w:t xml:space="preserve">. Al fine </w:t>
      </w:r>
      <w:r w:rsidR="000B3BF1" w:rsidRPr="00EC14DE">
        <w:rPr>
          <w:rFonts w:cs="Times New Roman"/>
        </w:rPr>
        <w:t xml:space="preserve">di </w:t>
      </w:r>
      <w:r w:rsidR="00690BCE" w:rsidRPr="00EC14DE">
        <w:rPr>
          <w:rFonts w:cs="Times New Roman"/>
        </w:rPr>
        <w:t xml:space="preserve">aggiornare le valutazioni inerenti l’appropriatezza e il sistema di remunerazione delle prestazioni di assistenza ospedaliera erogate dal Servizio sanitario nazionale, </w:t>
      </w:r>
      <w:r w:rsidR="001676BC" w:rsidRPr="00EC14DE">
        <w:rPr>
          <w:rFonts w:cs="Times New Roman"/>
        </w:rPr>
        <w:t xml:space="preserve">si provvede </w:t>
      </w:r>
      <w:r w:rsidR="00690BCE" w:rsidRPr="00EC14DE">
        <w:rPr>
          <w:rFonts w:cs="Times New Roman"/>
        </w:rPr>
        <w:t xml:space="preserve">all’aggiornamento entro il 30 giugno 2023 con Decreto del Ministero della salute, di concerto  con  il  Ministro  dell'economia  e  delle finanze, sentita la Conferenza  permanente  per  i  rapporti  tra  lo Stato, le regioni e le province autonome di Trento e di Bolzano, delle tariffe massime per la remunerazione delle prestazioni di assistenza ospedaliera per acuti erogate in regime di ricovero ordinario e diurno a carico del Servizio sanitario nazionale congiuntamente all’aggiornamento dei sistemi di classificazione adottati per la codifica delle informazioni cliniche contenute nella sceda di dimissione ospedaliera. Le predette tariffe massime come aggiornate con il decreto di cui al primo periodo costituiscono limite tariffario invalicabile per le prestazioni rese a carico del Servizio sanitario nazionale e sono aggiornate dal Ministero della salute ogni due anni con la medesima procedura di cui al primo periodo.  </w:t>
      </w:r>
    </w:p>
    <w:p w14:paraId="76C39EA6" w14:textId="77777777" w:rsidR="00C23764" w:rsidRPr="00EC14DE" w:rsidRDefault="00C23764" w:rsidP="00C23764">
      <w:pPr>
        <w:pStyle w:val="Titolo3"/>
        <w:keepNext w:val="0"/>
        <w:keepLines w:val="0"/>
        <w:widowControl w:val="0"/>
        <w:rPr>
          <w:rFonts w:eastAsia="Times New Roman"/>
        </w:rPr>
      </w:pPr>
      <w:bookmarkStart w:id="91" w:name="_Toc86323108"/>
      <w:bookmarkEnd w:id="90"/>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Fonts w:eastAsia="Times New Roman"/>
        </w:rPr>
        <w:t xml:space="preserve">(Tetti di spesa farmaceutica) </w:t>
      </w:r>
    </w:p>
    <w:p w14:paraId="49AA2E28" w14:textId="77777777" w:rsidR="00CD71C9" w:rsidRPr="00EC14DE" w:rsidRDefault="00CD71C9" w:rsidP="00CD71C9">
      <w:pPr>
        <w:rPr>
          <w:rFonts w:cs="Times New Roman"/>
        </w:rPr>
      </w:pPr>
      <w:r w:rsidRPr="00EC14DE">
        <w:rPr>
          <w:rFonts w:cs="Times New Roman"/>
        </w:rPr>
        <w:t>1.Al fine di sostenere il potenziamento delle prestazioni ricomprese nei livelli essenziali di assistenza, anche alla luce delle innovazioni che caratterizzano il settore, il tetto della spesa farmaceutica per acquisti diretti di cui all'articolo 1, comma 398, della legge 11 dicembre 2016, n. 232, è rideterminato nella misura dell’8 per cento per l’anno 2022, dell’8,15 per cento per l’anno 2023 e dell’8,30 per cento a decorrere dall’anno 2024. Resta fermo il valore percentuale del tetto per acquisti diretti di gas medicinali di cui all'articolo 1, comma 575, della legge 30 dicembre 2018, n. 145.</w:t>
      </w:r>
      <w:r w:rsidR="000B3BF1" w:rsidRPr="00EC14DE">
        <w:rPr>
          <w:rFonts w:cs="Times New Roman"/>
        </w:rPr>
        <w:t xml:space="preserve"> </w:t>
      </w:r>
      <w:r w:rsidRPr="00EC14DE">
        <w:rPr>
          <w:rFonts w:cs="Times New Roman"/>
        </w:rPr>
        <w:t xml:space="preserve">Resta fermo il limite della spesa farmaceutica convenzionata nel valore stabilito dall’articolo 1, comma 475, primo periodo, della legge 30 dicembre 2020, n. 178. Conseguentemente il </w:t>
      </w:r>
      <w:r w:rsidR="001E4BA9" w:rsidRPr="00EC14DE">
        <w:rPr>
          <w:rFonts w:cs="Times New Roman"/>
        </w:rPr>
        <w:t>valore</w:t>
      </w:r>
      <w:r w:rsidRPr="00EC14DE">
        <w:rPr>
          <w:rFonts w:cs="Times New Roman"/>
        </w:rPr>
        <w:t xml:space="preserve"> complessivo della spesa farmaceutica è rideterminato nel 15 per cento per l’anno 2022, nel 15,15 per cento nell’anno 2023 e nel 15,30 per cento a decorrere dall’anno 2024.</w:t>
      </w:r>
    </w:p>
    <w:p w14:paraId="20B98515" w14:textId="77777777" w:rsidR="00CD71C9" w:rsidRPr="00EC14DE" w:rsidRDefault="00CD71C9" w:rsidP="00CD71C9">
      <w:pPr>
        <w:rPr>
          <w:rFonts w:cs="Times New Roman"/>
        </w:rPr>
      </w:pPr>
      <w:r w:rsidRPr="00EC14DE">
        <w:rPr>
          <w:rFonts w:cs="Times New Roman"/>
        </w:rPr>
        <w:t>2. Le percentuali di cui al comma 1 possono essere annualmente rideterminate, fermi restando i valori complessivi di cui al medesimo comma, in sede di predisposizione del disegno di legge di bilancio, su proposta del Ministero della salute, sentita l'Agenzia italiana del farmaco (AIFA), d'intesa con il Ministero dell'economia e delle finanze, sulla base dell'andamento del mercato dei medicinali e del fabbisogno assistenziale.</w:t>
      </w:r>
    </w:p>
    <w:p w14:paraId="08333439" w14:textId="77777777" w:rsidR="0044625A" w:rsidRPr="00EC14DE" w:rsidRDefault="0044625A" w:rsidP="0044625A">
      <w:r w:rsidRPr="00EC14DE">
        <w:t>3. L’attuazione del comma 1 è subordinata all’aggiornamento annuale da parte dell’Agenzia italiana del farmaco (AIFA) dell'elenco dei farmaci rimborsabili dal Servizio Sanitario Nazionale, sulla base dei criteri di costo e di efficacia e all’allineamento dei prezzi dei farmaci terapeuticamente sovrapponibili, nel rispetto dei criteri determinati da AIFA previo parere della CTS, da effettuarsi entro il 30 novembre dell’anno precedente a quello di riferimento.</w:t>
      </w:r>
    </w:p>
    <w:p w14:paraId="2F672E06" w14:textId="77777777" w:rsidR="00C23764" w:rsidRPr="00EC14DE" w:rsidRDefault="00C23764" w:rsidP="0044625A">
      <w:pPr>
        <w:pStyle w:val="Titolo3"/>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br/>
        <w:t>(</w:t>
      </w:r>
      <w:r w:rsidR="00493368" w:rsidRPr="00EC14DE">
        <w:t>Deroga alla disciplina dei tetti di spesa per l’acquisto di dispositivi medici in ragione dell’emergenza COVID</w:t>
      </w:r>
      <w:r w:rsidRPr="00EC14DE">
        <w:t>)</w:t>
      </w:r>
    </w:p>
    <w:p w14:paraId="245D6251" w14:textId="77777777" w:rsidR="00C23764" w:rsidRPr="00EC14DE" w:rsidRDefault="002377EA" w:rsidP="00C23764">
      <w:r w:rsidRPr="00EC14DE">
        <w:t>1</w:t>
      </w:r>
      <w:r w:rsidR="00587EA9" w:rsidRPr="00EC14DE">
        <w:t>.</w:t>
      </w:r>
      <w:r w:rsidR="00C23764" w:rsidRPr="00EC14DE">
        <w:t xml:space="preserve"> </w:t>
      </w:r>
      <w:r w:rsidRPr="00EC14DE">
        <w:t xml:space="preserve">I dispositivi medici </w:t>
      </w:r>
      <w:r w:rsidRPr="00EC14DE">
        <w:rPr>
          <w:bCs/>
        </w:rPr>
        <w:t>correlati alle azioni di contenimento e contrasto alla pandemia da SARS-CoV-2, di cui all’elenco “Acquisti di dispositivi e attrezzature per il contrasto all'emergenza Covid-19” presente sul sito istituzionale della Presidenza del Consiglio dei ministri, acquistati dalle regioni e province autonome,</w:t>
      </w:r>
      <w:r w:rsidRPr="00EC14DE">
        <w:t xml:space="preserve"> non sono considerati, per gli anni 2020 e 2021, ai fini del </w:t>
      </w:r>
      <w:bookmarkStart w:id="92" w:name="_Hlk85721908"/>
      <w:r w:rsidRPr="00EC14DE">
        <w:t xml:space="preserve">computo del tetto di spesa </w:t>
      </w:r>
      <w:bookmarkStart w:id="93" w:name="_Hlk85806612"/>
      <w:r w:rsidRPr="00EC14DE">
        <w:t>di cui all’articolo 9-ter del decreto-legge 19 giugno 2015, n. 78, convertito, con modificazioni, dalla legge 6 agosto 2015, n. 125</w:t>
      </w:r>
      <w:bookmarkEnd w:id="92"/>
      <w:r w:rsidRPr="00EC14DE">
        <w:t>.</w:t>
      </w:r>
      <w:bookmarkEnd w:id="93"/>
    </w:p>
    <w:p w14:paraId="2D917181" w14:textId="77777777" w:rsidR="007C594F" w:rsidRPr="00EC14DE" w:rsidRDefault="007C594F"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w:t>
      </w:r>
      <w:r w:rsidR="00690BCE" w:rsidRPr="00EC14DE">
        <w:rPr>
          <w:rFonts w:cs="Times New Roman"/>
          <w:bCs/>
          <w:szCs w:val="22"/>
        </w:rPr>
        <w:t>Finanziamento aggiornamento LEA</w:t>
      </w:r>
      <w:r w:rsidRPr="00EC14DE">
        <w:rPr>
          <w:rFonts w:eastAsia="Times New Roman"/>
        </w:rPr>
        <w:t xml:space="preserve">) </w:t>
      </w:r>
      <w:bookmarkEnd w:id="91"/>
    </w:p>
    <w:p w14:paraId="3FBC1E8E" w14:textId="77777777" w:rsidR="00690BCE" w:rsidRPr="00EC14DE" w:rsidRDefault="00690BCE" w:rsidP="00690BCE">
      <w:pPr>
        <w:pStyle w:val="Paragrafoelenco"/>
        <w:spacing w:line="240" w:lineRule="auto"/>
        <w:ind w:left="0"/>
        <w:jc w:val="both"/>
        <w:rPr>
          <w:rFonts w:ascii="Times New Roman" w:eastAsia="Times New Roman" w:hAnsi="Times New Roman" w:cs="Times New Roman"/>
          <w:lang w:eastAsia="it-IT"/>
        </w:rPr>
      </w:pPr>
      <w:r w:rsidRPr="00EC14DE">
        <w:rPr>
          <w:rFonts w:ascii="Times New Roman" w:eastAsia="Times New Roman" w:hAnsi="Times New Roman" w:cs="Times New Roman"/>
          <w:lang w:eastAsia="it-IT"/>
        </w:rPr>
        <w:t xml:space="preserve">1. A decorrere dall’anno 2022, per l’aggiornamento dei LEA, in attuazione di quanto previsto dall’articolo 1, commi 558 e 559, della legge 28 dicembre 2015, n. </w:t>
      </w:r>
      <w:r w:rsidR="00587EA9" w:rsidRPr="00EC14DE">
        <w:rPr>
          <w:rFonts w:ascii="Times New Roman" w:eastAsia="Times New Roman" w:hAnsi="Times New Roman" w:cs="Times New Roman"/>
          <w:lang w:eastAsia="it-IT"/>
        </w:rPr>
        <w:t>208, è finalizzato l’importo di 200</w:t>
      </w:r>
      <w:r w:rsidRPr="00EC14DE">
        <w:rPr>
          <w:rFonts w:ascii="Times New Roman" w:eastAsia="Times New Roman" w:hAnsi="Times New Roman" w:cs="Times New Roman"/>
          <w:lang w:eastAsia="it-IT"/>
        </w:rPr>
        <w:t xml:space="preserve"> milioni di euro, a valere sulla quota indistinta del fabbisogno sanitario standard nazionale.</w:t>
      </w:r>
    </w:p>
    <w:p w14:paraId="2EED0C5F" w14:textId="77777777" w:rsidR="007C594F" w:rsidRPr="00EC14DE" w:rsidRDefault="007C594F" w:rsidP="007C594F">
      <w:pPr>
        <w:pStyle w:val="Titolo3"/>
        <w:keepNext w:val="0"/>
        <w:keepLines w:val="0"/>
        <w:widowControl w:val="0"/>
        <w:rPr>
          <w:rFonts w:eastAsia="Times New Roman"/>
        </w:rPr>
      </w:pPr>
      <w:bookmarkStart w:id="94" w:name="_Toc86323109"/>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(Ripartizione quote premiali a valere sulle risorse previste per il finanziamento del SSN)</w:t>
      </w:r>
      <w:bookmarkEnd w:id="94"/>
    </w:p>
    <w:p w14:paraId="570069BC" w14:textId="77777777" w:rsidR="00690BCE" w:rsidRPr="00EC14DE" w:rsidRDefault="00690BCE" w:rsidP="00690BCE">
      <w:pPr>
        <w:pStyle w:val="Paragrafoelenco"/>
        <w:spacing w:line="240" w:lineRule="auto"/>
        <w:ind w:left="0"/>
        <w:jc w:val="both"/>
        <w:rPr>
          <w:rFonts w:ascii="Times New Roman" w:hAnsi="Times New Roman" w:cs="Times New Roman"/>
        </w:rPr>
      </w:pPr>
      <w:r w:rsidRPr="00EC14DE">
        <w:rPr>
          <w:rFonts w:ascii="Times New Roman" w:hAnsi="Times New Roman" w:cs="Times New Roman"/>
        </w:rPr>
        <w:t>1. All'articolo 2, comma 67-bis, della legge 23 dicembre 2009, n. 191, al quinto periodo, le parole «e per l'anno 2021», sono sostituite dalle seguenti: «, per l'anno 2021 e per l'anno 2022».</w:t>
      </w:r>
    </w:p>
    <w:p w14:paraId="45E5273D" w14:textId="77777777" w:rsidR="00690BCE" w:rsidRPr="00EC14DE" w:rsidRDefault="007C594F" w:rsidP="007C594F">
      <w:pPr>
        <w:pStyle w:val="Titolo3"/>
        <w:keepNext w:val="0"/>
        <w:keepLines w:val="0"/>
        <w:widowControl w:val="0"/>
        <w:rPr>
          <w:rFonts w:eastAsia="Times New Roman"/>
        </w:rPr>
      </w:pPr>
      <w:bookmarkStart w:id="95" w:name="_Toc86323110"/>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 xml:space="preserve">(Proroga delle disposizioni in materia di assistenza psicologica </w:t>
      </w:r>
      <w:r w:rsidR="006E082B" w:rsidRPr="00EC14DE">
        <w:rPr>
          <w:rFonts w:eastAsia="Times New Roman"/>
        </w:rPr>
        <w:t xml:space="preserve">di cui all’articolo 33 del decreto-legge </w:t>
      </w:r>
      <w:r w:rsidR="006E082B" w:rsidRPr="00EC14DE">
        <w:rPr>
          <w:rFonts w:cs="Times New Roman"/>
        </w:rPr>
        <w:t xml:space="preserve">25 maggio 2021, </w:t>
      </w:r>
      <w:r w:rsidR="006E082B" w:rsidRPr="00EC14DE">
        <w:rPr>
          <w:rFonts w:eastAsia="Times New Roman"/>
        </w:rPr>
        <w:t>n.</w:t>
      </w:r>
      <w:r w:rsidRPr="00EC14DE">
        <w:rPr>
          <w:rFonts w:eastAsia="Times New Roman"/>
        </w:rPr>
        <w:t xml:space="preserve"> 73)</w:t>
      </w:r>
      <w:bookmarkStart w:id="96" w:name="_Toc86323111"/>
      <w:bookmarkEnd w:id="95"/>
      <w:r w:rsidR="004C322F" w:rsidRPr="00EC14DE">
        <w:rPr>
          <w:rFonts w:eastAsia="Times New Roman"/>
        </w:rPr>
        <w:t xml:space="preserve"> </w:t>
      </w:r>
    </w:p>
    <w:p w14:paraId="031F361E" w14:textId="77777777" w:rsidR="000B316B" w:rsidRPr="00EC14DE" w:rsidRDefault="000B316B" w:rsidP="000B316B">
      <w:pPr>
        <w:ind w:right="284"/>
        <w:rPr>
          <w:rFonts w:cs="Times New Roman"/>
        </w:rPr>
      </w:pPr>
      <w:r w:rsidRPr="00EC14DE">
        <w:rPr>
          <w:rFonts w:cs="Times New Roman"/>
        </w:rPr>
        <w:t>1. All’articolo 33 del decreto-legge 25 maggio 2021, n. 73, convertito</w:t>
      </w:r>
      <w:r w:rsidR="00683C9E" w:rsidRPr="00EC14DE">
        <w:rPr>
          <w:rFonts w:cs="Times New Roman"/>
        </w:rPr>
        <w:t xml:space="preserve">, </w:t>
      </w:r>
      <w:r w:rsidRPr="00EC14DE">
        <w:rPr>
          <w:rFonts w:cs="Times New Roman"/>
        </w:rPr>
        <w:t xml:space="preserve">con </w:t>
      </w:r>
      <w:r w:rsidR="00683C9E" w:rsidRPr="00EC14DE">
        <w:rPr>
          <w:rFonts w:cs="Times New Roman"/>
        </w:rPr>
        <w:t xml:space="preserve">modificazioni, dalla </w:t>
      </w:r>
      <w:r w:rsidRPr="00EC14DE">
        <w:rPr>
          <w:rFonts w:cs="Times New Roman"/>
        </w:rPr>
        <w:t>legge 23 luglio 2021, n. 106, sono apportate le seguenti modificazioni:</w:t>
      </w:r>
    </w:p>
    <w:p w14:paraId="5F6BC00A" w14:textId="77777777" w:rsidR="000B316B" w:rsidRPr="00EC14DE" w:rsidRDefault="00BC7A85" w:rsidP="000831E3">
      <w:pPr>
        <w:numPr>
          <w:ilvl w:val="0"/>
          <w:numId w:val="40"/>
        </w:numPr>
        <w:ind w:right="284"/>
        <w:rPr>
          <w:rFonts w:cs="Times New Roman"/>
        </w:rPr>
      </w:pPr>
      <w:r w:rsidRPr="00EC14DE">
        <w:rPr>
          <w:rFonts w:cs="Times New Roman"/>
        </w:rPr>
        <w:t>al</w:t>
      </w:r>
      <w:r w:rsidR="000B316B" w:rsidRPr="00EC14DE">
        <w:rPr>
          <w:rFonts w:cs="Times New Roman"/>
        </w:rPr>
        <w:t xml:space="preserve"> comma 1 le parole “fino al 31 dicembre 2021” sono sostituite con “fino al 31 dicembre 2022”.</w:t>
      </w:r>
    </w:p>
    <w:p w14:paraId="43B320BE" w14:textId="77777777" w:rsidR="000B316B" w:rsidRPr="00EC14DE" w:rsidRDefault="000B316B" w:rsidP="000831E3">
      <w:pPr>
        <w:numPr>
          <w:ilvl w:val="0"/>
          <w:numId w:val="40"/>
        </w:numPr>
        <w:ind w:right="284"/>
        <w:rPr>
          <w:rFonts w:cs="Times New Roman"/>
        </w:rPr>
      </w:pPr>
      <w:r w:rsidRPr="00EC14DE">
        <w:rPr>
          <w:rFonts w:cs="Times New Roman"/>
        </w:rPr>
        <w:t xml:space="preserve">il comma 2 è sostituito </w:t>
      </w:r>
      <w:r w:rsidR="00BC7A85" w:rsidRPr="00EC14DE">
        <w:rPr>
          <w:rFonts w:cs="Times New Roman"/>
        </w:rPr>
        <w:t>dal</w:t>
      </w:r>
      <w:r w:rsidRPr="00EC14DE">
        <w:rPr>
          <w:rFonts w:cs="Times New Roman"/>
        </w:rPr>
        <w:t xml:space="preserve"> seguente: “Per le finalità di cui al comma 1 è autorizzata, per l'anno 2021 e per l’anno 2022, la spesa di 8 milioni di euro annui. Conseguentemente il livello del finanziamento del fabbisogno sanitario nazionale cui concorre lo Stato è incrementato di 8 milioni di euro per l'anno 2021, mentre per l’anno 2022 alla spesa di 8 milioni di euro si provvede a valere sul livello del finanziamento del fabbisogno sanitario nazionale standard cui concorre lo Stato per il medesimo anno. Al relativo finanziamento accedono tutte le regioni e le province autonome di Trento e di Bolzano, in deroga alle disposizioni legislative che stabiliscono per le autonomie speciali il concorso regionale e provinciale al finanziamento sanitario corrente, sulla base delle quote d'accesso al fabbisogno sanitario. La ripartizione complessiva del finanziamento di 8 milioni di euro per entrambi gli anni è riportata nella </w:t>
      </w:r>
      <w:r w:rsidRPr="00EC14DE">
        <w:rPr>
          <w:rFonts w:cs="Times New Roman"/>
          <w:b/>
        </w:rPr>
        <w:t xml:space="preserve">tabella C </w:t>
      </w:r>
      <w:r w:rsidRPr="00EC14DE">
        <w:rPr>
          <w:rFonts w:cs="Times New Roman"/>
        </w:rPr>
        <w:t>allegata al presente decreto.”</w:t>
      </w:r>
    </w:p>
    <w:p w14:paraId="49FBF316" w14:textId="77777777" w:rsidR="00112938" w:rsidRPr="00EC14DE" w:rsidRDefault="00112938" w:rsidP="000831E3">
      <w:pPr>
        <w:numPr>
          <w:ilvl w:val="0"/>
          <w:numId w:val="40"/>
        </w:numPr>
        <w:ind w:right="284"/>
        <w:rPr>
          <w:rFonts w:cs="Times New Roman"/>
        </w:rPr>
      </w:pPr>
      <w:r w:rsidRPr="00EC14DE">
        <w:rPr>
          <w:rFonts w:cs="Times New Roman"/>
        </w:rPr>
        <w:t>al comma 3 le parole “fino al 31 dicembre 2021” sono sostituite dalle seguenti “fino al 31 dicembre 2022”.</w:t>
      </w:r>
    </w:p>
    <w:p w14:paraId="61A97991" w14:textId="77777777" w:rsidR="000B316B" w:rsidRPr="00EC14DE" w:rsidRDefault="000B316B" w:rsidP="000831E3">
      <w:pPr>
        <w:numPr>
          <w:ilvl w:val="0"/>
          <w:numId w:val="40"/>
        </w:numPr>
        <w:ind w:right="284"/>
        <w:rPr>
          <w:rFonts w:cs="Times New Roman"/>
        </w:rPr>
      </w:pPr>
      <w:r w:rsidRPr="00EC14DE">
        <w:rPr>
          <w:rFonts w:cs="Times New Roman"/>
        </w:rPr>
        <w:t>il comma 5 è sostituito con il seguente: “Per le finalità di cui al comma 3 è autorizzata, per l'anno 2021 e per l’anno 2022, la spesa complessiva annua di 19.932.000 euro. Conseguentemente il livello del finanziamento del fabbisogno sanitario nazionale standard cui concorre lo Stato è incrementato di 19.932.000 euro per l'anno 2021, mentre per l’anno 2022 alla spesa di 19.932.000 euro si provvede a valere sul livello del finanziamento del fabbisogno sanitario nazionale standard cui concorre lo Stato per il medesimo anno. Al relativo finanziamento accedono tutte le regioni e le province autonome di Trento e di Bolzano, in deroga alle disposizioni legislative che stabiliscono per le autonomie speciali il concorso regionale e provinciale al finanziamento sanitario corrente, sulla base delle quote d'accesso al fabbisogno sanitario. La ripartizione complessiva del finanziamento pari a 19.932.000 euro per entrambi gli a</w:t>
      </w:r>
      <w:r w:rsidR="00056266" w:rsidRPr="00EC14DE">
        <w:rPr>
          <w:rFonts w:cs="Times New Roman"/>
        </w:rPr>
        <w:t xml:space="preserve">nni </w:t>
      </w:r>
      <w:r w:rsidR="00B97823" w:rsidRPr="00EC14DE">
        <w:rPr>
          <w:rFonts w:cs="Times New Roman"/>
        </w:rPr>
        <w:t>è</w:t>
      </w:r>
      <w:r w:rsidR="00056266" w:rsidRPr="00EC14DE">
        <w:rPr>
          <w:rFonts w:cs="Times New Roman"/>
        </w:rPr>
        <w:t xml:space="preserve"> riportata nella </w:t>
      </w:r>
      <w:r w:rsidR="00056266" w:rsidRPr="00EC14DE">
        <w:rPr>
          <w:rFonts w:cs="Times New Roman"/>
          <w:b/>
        </w:rPr>
        <w:t>tabella D</w:t>
      </w:r>
      <w:r w:rsidR="00053F6E" w:rsidRPr="00EC14DE">
        <w:rPr>
          <w:rFonts w:cs="Times New Roman"/>
          <w:b/>
        </w:rPr>
        <w:t xml:space="preserve"> </w:t>
      </w:r>
      <w:r w:rsidRPr="00EC14DE">
        <w:rPr>
          <w:rFonts w:cs="Times New Roman"/>
        </w:rPr>
        <w:t>allegata al presente decreto.”</w:t>
      </w:r>
    </w:p>
    <w:p w14:paraId="3DA9A311" w14:textId="77777777" w:rsidR="000B316B" w:rsidRPr="00EC14DE" w:rsidRDefault="000B316B" w:rsidP="000831E3">
      <w:pPr>
        <w:numPr>
          <w:ilvl w:val="0"/>
          <w:numId w:val="40"/>
        </w:numPr>
        <w:rPr>
          <w:rFonts w:cs="Times New Roman"/>
        </w:rPr>
      </w:pPr>
      <w:r w:rsidRPr="00EC14DE">
        <w:rPr>
          <w:rFonts w:cs="Times New Roman"/>
        </w:rPr>
        <w:t>nel comma 6-bis le parole “per l’anno 2021” sono sostituite con “per</w:t>
      </w:r>
      <w:r w:rsidR="00CB62C5" w:rsidRPr="00EC14DE">
        <w:rPr>
          <w:rFonts w:cs="Times New Roman"/>
        </w:rPr>
        <w:t xml:space="preserve"> ciascuno de</w:t>
      </w:r>
      <w:r w:rsidRPr="00EC14DE">
        <w:rPr>
          <w:rFonts w:cs="Times New Roman"/>
        </w:rPr>
        <w:t>gli anni 2021 e 2022”.</w:t>
      </w:r>
    </w:p>
    <w:p w14:paraId="2FE19287" w14:textId="77777777" w:rsidR="000B316B" w:rsidRPr="00EC14DE" w:rsidRDefault="00683C9E" w:rsidP="00053F6E">
      <w:pPr>
        <w:rPr>
          <w:rFonts w:cs="Times New Roman"/>
        </w:rPr>
      </w:pPr>
      <w:r w:rsidRPr="00EC14DE">
        <w:rPr>
          <w:rFonts w:cs="Times New Roman"/>
        </w:rPr>
        <w:t xml:space="preserve">2. La tabella C allegata al </w:t>
      </w:r>
      <w:r w:rsidR="00053F6E" w:rsidRPr="00EC14DE">
        <w:rPr>
          <w:rFonts w:cs="Times New Roman"/>
        </w:rPr>
        <w:t>decreto-legge 25 maggio 2021, n. 73, convertito, con modificazioni, dalla legge 23 luglio 2021, n. 106, concernente l’a</w:t>
      </w:r>
      <w:r w:rsidR="00566105" w:rsidRPr="00EC14DE">
        <w:rPr>
          <w:rFonts w:cs="Times New Roman"/>
        </w:rPr>
        <w:t xml:space="preserve">rticolo 33, commi 1 e 2, </w:t>
      </w:r>
      <w:r w:rsidR="00053F6E" w:rsidRPr="00EC14DE">
        <w:rPr>
          <w:rFonts w:cs="Times New Roman"/>
        </w:rPr>
        <w:t>e la tabella D allegata al</w:t>
      </w:r>
      <w:r w:rsidR="00D673AF" w:rsidRPr="00EC14DE">
        <w:rPr>
          <w:rFonts w:cs="Times New Roman"/>
        </w:rPr>
        <w:t xml:space="preserve"> medesimo</w:t>
      </w:r>
      <w:r w:rsidR="00053F6E" w:rsidRPr="00EC14DE">
        <w:rPr>
          <w:rFonts w:cs="Times New Roman"/>
        </w:rPr>
        <w:t xml:space="preserve"> decreto-legge n. 73</w:t>
      </w:r>
      <w:r w:rsidR="00D673AF" w:rsidRPr="00EC14DE">
        <w:rPr>
          <w:rFonts w:cs="Times New Roman"/>
        </w:rPr>
        <w:t xml:space="preserve"> del 2021</w:t>
      </w:r>
      <w:r w:rsidR="00053F6E" w:rsidRPr="00EC14DE">
        <w:rPr>
          <w:rFonts w:cs="Times New Roman"/>
        </w:rPr>
        <w:t xml:space="preserve">, concernente l’articolo </w:t>
      </w:r>
      <w:r w:rsidR="00541FB2" w:rsidRPr="00EC14DE">
        <w:rPr>
          <w:rFonts w:cs="Times New Roman"/>
        </w:rPr>
        <w:t xml:space="preserve">33, commi 3 e </w:t>
      </w:r>
      <w:r w:rsidR="00566105" w:rsidRPr="00EC14DE">
        <w:rPr>
          <w:rFonts w:cs="Times New Roman"/>
        </w:rPr>
        <w:t>5</w:t>
      </w:r>
      <w:r w:rsidR="004068C7" w:rsidRPr="00EC14DE">
        <w:rPr>
          <w:rFonts w:cs="Times New Roman"/>
        </w:rPr>
        <w:t xml:space="preserve">, sono sostituite, rispettivamente, dagli </w:t>
      </w:r>
      <w:r w:rsidR="004068C7" w:rsidRPr="00EC14DE">
        <w:rPr>
          <w:rFonts w:cs="Times New Roman"/>
          <w:b/>
        </w:rPr>
        <w:t xml:space="preserve">allegati 4 e 5 </w:t>
      </w:r>
      <w:r w:rsidR="004068C7" w:rsidRPr="00EC14DE">
        <w:rPr>
          <w:rFonts w:cs="Times New Roman"/>
        </w:rPr>
        <w:t>annessi alla presente legge.</w:t>
      </w:r>
    </w:p>
    <w:p w14:paraId="7BBF063A" w14:textId="77777777" w:rsidR="00B87845" w:rsidRPr="00EC14DE" w:rsidRDefault="00B87845" w:rsidP="00053F6E">
      <w:pPr>
        <w:rPr>
          <w:rFonts w:cs="Times New Roman"/>
        </w:rPr>
      </w:pPr>
      <w:r w:rsidRPr="00EC14DE">
        <w:rPr>
          <w:rFonts w:cs="Times New Roman"/>
        </w:rPr>
        <w:t>3. Agli oneri derivanti dal comma 1, lettera e), pari a 10 milioni di euro annui per l’anno 2022, si provvede mediante corrispondente riduzione del livello del finanziamento del fabbisogno sanitario nazionale standard cui concorre lo Stato.</w:t>
      </w:r>
    </w:p>
    <w:bookmarkEnd w:id="96"/>
    <w:p w14:paraId="6A5EE052" w14:textId="77777777" w:rsidR="000B316B" w:rsidRPr="00EC14DE" w:rsidRDefault="000B316B" w:rsidP="000B316B">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(Indennità di pronto soccorso dirigenza medica e personale del comparto sanità)</w:t>
      </w:r>
    </w:p>
    <w:p w14:paraId="54D0905D" w14:textId="77777777" w:rsidR="000B316B" w:rsidRPr="00EC14DE" w:rsidRDefault="000B316B" w:rsidP="000B316B">
      <w:pPr>
        <w:autoSpaceDE w:val="0"/>
        <w:autoSpaceDN w:val="0"/>
      </w:pPr>
      <w:r w:rsidRPr="00EC14DE">
        <w:t xml:space="preserve">1. Ai fini del riconoscimento delle particolari condizioni del lavoro svolto dal personale della dirigenza medica e dal </w:t>
      </w:r>
      <w:bookmarkStart w:id="97" w:name="_Hlk86414655"/>
      <w:r w:rsidRPr="00EC14DE">
        <w:t>personale del comparto sanità</w:t>
      </w:r>
      <w:bookmarkEnd w:id="97"/>
      <w:r w:rsidRPr="00EC14DE">
        <w:t>, dipendente dalle aziende e dagli enti del Servizio sanitario nazionale ed operante nei servizi di Pronto Soccorso, nell'ambito dei rispettivi contratti collettivi nazionali di lavoro è definita, nei limiti degli importi annui lordi di</w:t>
      </w:r>
      <w:r w:rsidR="002D11D2" w:rsidRPr="00EC14DE">
        <w:t xml:space="preserve"> 27 </w:t>
      </w:r>
      <w:r w:rsidRPr="00EC14DE">
        <w:t xml:space="preserve">milioni di euro per la dirigenza medica e di </w:t>
      </w:r>
      <w:r w:rsidR="002D11D2" w:rsidRPr="00EC14DE">
        <w:t>63</w:t>
      </w:r>
      <w:r w:rsidRPr="00EC14DE">
        <w:t xml:space="preserve"> milioni di euro per il personale del comparto sanità, una specifica indennità di natura accessoria da riconoscere, in ragione dell’effettiva presenza in servizio, con decorrenza dal 1° gennaio 2022.</w:t>
      </w:r>
    </w:p>
    <w:p w14:paraId="603F332C" w14:textId="77777777" w:rsidR="000B316B" w:rsidRPr="00EC14DE" w:rsidRDefault="000B316B" w:rsidP="000B316B">
      <w:pPr>
        <w:autoSpaceDE w:val="0"/>
        <w:autoSpaceDN w:val="0"/>
      </w:pPr>
      <w:r w:rsidRPr="00EC14DE">
        <w:t>2. Alla copertura degli oneri derivanti dalle disposizioni di cui al comma 1, valutati complessivamente in 90 milioni di euro, a decorrere dall’anno 2022, si provvede a valere sul livello del finanziamento del fabbisogno sanitario nazionale standard cui concorre lo Stato.</w:t>
      </w:r>
    </w:p>
    <w:p w14:paraId="739B14B2" w14:textId="77777777" w:rsidR="00397AE3" w:rsidRPr="00EC14DE" w:rsidRDefault="00397AE3" w:rsidP="00397AE3">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(Proroga Unità speciali di continuità assistenziale)</w:t>
      </w:r>
    </w:p>
    <w:p w14:paraId="1F75D838" w14:textId="77777777" w:rsidR="00397AE3" w:rsidRPr="00EC14DE" w:rsidRDefault="00397AE3" w:rsidP="00397AE3">
      <w:r w:rsidRPr="00EC14DE">
        <w:t>1. Le disposizioni di cui all’articolo</w:t>
      </w:r>
      <w:r w:rsidR="0064529B" w:rsidRPr="00EC14DE">
        <w:t xml:space="preserve"> </w:t>
      </w:r>
      <w:r w:rsidRPr="00EC14DE">
        <w:t>4-bis del</w:t>
      </w:r>
      <w:r w:rsidR="0064529B" w:rsidRPr="00EC14DE">
        <w:t xml:space="preserve"> decreto-legge </w:t>
      </w:r>
      <w:r w:rsidRPr="00EC14DE">
        <w:t>17 marzo 2020, n.18, convertito, con modificazioni, dalla legge 24 aprile 2020, n.  27, già prorogate dall’articolo 1, comma 425, della legge 30 dicembre 2020, n. 178, sono ulteriormente prorogate al 30 giugno 2022, nei limiti di spesa per singola regione e pr</w:t>
      </w:r>
      <w:r w:rsidR="00440B5A" w:rsidRPr="00EC14DE">
        <w:t>ovincia autonoma indicati nell’</w:t>
      </w:r>
      <w:r w:rsidR="00440B5A" w:rsidRPr="00EC14DE">
        <w:rPr>
          <w:b/>
        </w:rPr>
        <w:t>A</w:t>
      </w:r>
      <w:r w:rsidRPr="00EC14DE">
        <w:rPr>
          <w:b/>
        </w:rPr>
        <w:t>llegat</w:t>
      </w:r>
      <w:r w:rsidR="00440B5A" w:rsidRPr="00EC14DE">
        <w:rPr>
          <w:b/>
        </w:rPr>
        <w:t>o 6</w:t>
      </w:r>
      <w:r w:rsidR="00440B5A" w:rsidRPr="00EC14DE">
        <w:t xml:space="preserve"> annesso</w:t>
      </w:r>
      <w:r w:rsidRPr="00EC14DE">
        <w:t xml:space="preserve"> alla presente legge.</w:t>
      </w:r>
    </w:p>
    <w:p w14:paraId="06F49106" w14:textId="77777777" w:rsidR="00397AE3" w:rsidRPr="00EC14DE" w:rsidRDefault="00397AE3" w:rsidP="00397AE3">
      <w:pPr>
        <w:spacing w:after="160" w:line="252" w:lineRule="auto"/>
      </w:pPr>
      <w:r w:rsidRPr="00EC14DE">
        <w:t>2. All’onere derivante dalla disposizione di cui al comma 1, stimato in euro 105 milioni di euro, si fa fronte a valere sul fabbisogno sanitario standard per l’anno 2022.</w:t>
      </w:r>
    </w:p>
    <w:p w14:paraId="6F6C3AE4" w14:textId="77777777" w:rsidR="000970C8" w:rsidRPr="00EC14DE" w:rsidRDefault="000970C8">
      <w:pPr>
        <w:spacing w:after="160" w:line="259" w:lineRule="auto"/>
        <w:jc w:val="left"/>
        <w:rPr>
          <w:rFonts w:eastAsiaTheme="majorEastAsia" w:cstheme="majorBidi"/>
          <w:b/>
          <w:sz w:val="24"/>
          <w:szCs w:val="32"/>
        </w:rPr>
      </w:pPr>
      <w:r w:rsidRPr="00EC14DE">
        <w:br w:type="page"/>
      </w:r>
    </w:p>
    <w:p w14:paraId="261C2102" w14:textId="77777777" w:rsidR="005626D5" w:rsidRPr="00EC14DE" w:rsidRDefault="005626D5" w:rsidP="007C594F">
      <w:pPr>
        <w:pStyle w:val="Titolo1"/>
        <w:keepNext w:val="0"/>
        <w:keepLines w:val="0"/>
        <w:widowControl w:val="0"/>
      </w:pPr>
      <w:r w:rsidRPr="00EC14DE">
        <w:t>Titolo VII</w:t>
      </w:r>
      <w:r w:rsidRPr="00EC14DE">
        <w:br/>
        <w:t>Scuola, Università e ricerca</w:t>
      </w:r>
    </w:p>
    <w:p w14:paraId="202B1E06" w14:textId="77777777" w:rsidR="00582584" w:rsidRPr="00EC14DE" w:rsidRDefault="00582584"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FA5F7A" w:rsidRPr="00EC14DE">
        <w:rPr>
          <w:rFonts w:eastAsia="Calibri"/>
        </w:rPr>
        <w:t xml:space="preserve">Misure per il </w:t>
      </w:r>
      <w:r w:rsidR="00FA5F7A" w:rsidRPr="00EC14DE">
        <w:t>rilancio</w:t>
      </w:r>
      <w:r w:rsidR="00FA5F7A" w:rsidRPr="00EC14DE">
        <w:rPr>
          <w:rFonts w:eastAsia="Calibri"/>
        </w:rPr>
        <w:t xml:space="preserve"> e la competitività del </w:t>
      </w:r>
      <w:r w:rsidR="00FA5F7A" w:rsidRPr="00EC14DE">
        <w:t>sistema</w:t>
      </w:r>
      <w:r w:rsidR="00FA5F7A" w:rsidRPr="00EC14DE">
        <w:rPr>
          <w:rFonts w:eastAsia="Calibri"/>
        </w:rPr>
        <w:t xml:space="preserve"> della formazione superiore</w:t>
      </w:r>
      <w:r w:rsidR="0082179A" w:rsidRPr="00EC14DE">
        <w:t>)</w:t>
      </w:r>
    </w:p>
    <w:p w14:paraId="312B8CEB" w14:textId="77777777" w:rsidR="004C09EC" w:rsidRPr="00EC14DE" w:rsidRDefault="004C09EC" w:rsidP="007C594F">
      <w:pPr>
        <w:pStyle w:val="wordsection1"/>
        <w:widowControl w:val="0"/>
        <w:jc w:val="both"/>
        <w:rPr>
          <w:strike/>
          <w:sz w:val="22"/>
          <w:szCs w:val="22"/>
          <w:shd w:val="clear" w:color="auto" w:fill="FFFFFF"/>
        </w:rPr>
      </w:pPr>
      <w:bookmarkStart w:id="98" w:name="_Hlk83222861"/>
      <w:bookmarkStart w:id="99" w:name="_Hlk83992328"/>
      <w:r w:rsidRPr="00EC14DE">
        <w:rPr>
          <w:sz w:val="22"/>
          <w:szCs w:val="22"/>
          <w:shd w:val="clear" w:color="auto" w:fill="FFFFFF"/>
        </w:rPr>
        <w:t xml:space="preserve">1. Il </w:t>
      </w:r>
      <w:bookmarkStart w:id="100" w:name="_Hlk85714870"/>
      <w:r w:rsidRPr="00EC14DE">
        <w:rPr>
          <w:sz w:val="22"/>
          <w:szCs w:val="22"/>
          <w:shd w:val="clear" w:color="auto" w:fill="FFFFFF"/>
        </w:rPr>
        <w:t xml:space="preserve">Fondo per il finanziamento ordinario delle università, </w:t>
      </w:r>
      <w:bookmarkStart w:id="101" w:name="_Hlk85790078"/>
      <w:r w:rsidRPr="00EC14DE">
        <w:rPr>
          <w:sz w:val="22"/>
          <w:szCs w:val="22"/>
          <w:shd w:val="clear" w:color="auto" w:fill="FFFFFF"/>
        </w:rPr>
        <w:t>di cui all'articolo 5, comma 1, lettera a), della legge 24 dicembre 1993, n. 537</w:t>
      </w:r>
      <w:bookmarkEnd w:id="100"/>
      <w:r w:rsidRPr="00EC14DE">
        <w:rPr>
          <w:sz w:val="22"/>
          <w:szCs w:val="22"/>
          <w:shd w:val="clear" w:color="auto" w:fill="FFFFFF"/>
        </w:rPr>
        <w:t xml:space="preserve">, è incrementato di </w:t>
      </w:r>
      <w:r w:rsidR="00455573" w:rsidRPr="00EC14DE">
        <w:rPr>
          <w:sz w:val="22"/>
          <w:szCs w:val="22"/>
          <w:shd w:val="clear" w:color="auto" w:fill="FFFFFF"/>
        </w:rPr>
        <w:t>250</w:t>
      </w:r>
      <w:r w:rsidRPr="00EC14DE">
        <w:rPr>
          <w:sz w:val="22"/>
          <w:szCs w:val="22"/>
          <w:shd w:val="clear" w:color="auto" w:fill="FFFFFF"/>
        </w:rPr>
        <w:t xml:space="preserve"> milioni di euro per l’anno 2022, di </w:t>
      </w:r>
      <w:r w:rsidR="00455573" w:rsidRPr="00EC14DE">
        <w:rPr>
          <w:sz w:val="22"/>
          <w:szCs w:val="22"/>
          <w:shd w:val="clear" w:color="auto" w:fill="FFFFFF"/>
        </w:rPr>
        <w:t>515</w:t>
      </w:r>
      <w:r w:rsidRPr="00EC14DE">
        <w:rPr>
          <w:sz w:val="22"/>
          <w:szCs w:val="22"/>
          <w:shd w:val="clear" w:color="auto" w:fill="FFFFFF"/>
        </w:rPr>
        <w:t xml:space="preserve"> milioni di euro per l’anno 2023 e di 7</w:t>
      </w:r>
      <w:r w:rsidR="00455573" w:rsidRPr="00EC14DE">
        <w:rPr>
          <w:sz w:val="22"/>
          <w:szCs w:val="22"/>
          <w:shd w:val="clear" w:color="auto" w:fill="FFFFFF"/>
        </w:rPr>
        <w:t>65</w:t>
      </w:r>
      <w:r w:rsidRPr="00EC14DE">
        <w:rPr>
          <w:sz w:val="22"/>
          <w:szCs w:val="22"/>
          <w:shd w:val="clear" w:color="auto" w:fill="FFFFFF"/>
        </w:rPr>
        <w:t xml:space="preserve"> milioni di euro </w:t>
      </w:r>
      <w:r w:rsidR="00455573" w:rsidRPr="00EC14DE">
        <w:rPr>
          <w:sz w:val="22"/>
          <w:szCs w:val="22"/>
          <w:shd w:val="clear" w:color="auto" w:fill="FFFFFF"/>
        </w:rPr>
        <w:t>per l’anno 2024, di 815 milioni per l’anno 2025 e di 865 milioni annui a decorrere dall’anno 2026</w:t>
      </w:r>
      <w:r w:rsidRPr="00EC14DE">
        <w:rPr>
          <w:sz w:val="22"/>
          <w:szCs w:val="22"/>
          <w:shd w:val="clear" w:color="auto" w:fill="FFFFFF"/>
        </w:rPr>
        <w:t>:</w:t>
      </w:r>
    </w:p>
    <w:bookmarkEnd w:id="101"/>
    <w:p w14:paraId="6EC9EACF" w14:textId="77777777" w:rsidR="004C09EC" w:rsidRPr="00EC14DE" w:rsidRDefault="004C09EC" w:rsidP="007C594F">
      <w:pPr>
        <w:pStyle w:val="wordsection1"/>
        <w:widowControl w:val="0"/>
        <w:jc w:val="both"/>
        <w:rPr>
          <w:sz w:val="22"/>
          <w:szCs w:val="22"/>
          <w:shd w:val="clear" w:color="auto" w:fill="FFFFFF"/>
        </w:rPr>
      </w:pPr>
      <w:r w:rsidRPr="00EC14DE">
        <w:rPr>
          <w:sz w:val="22"/>
          <w:szCs w:val="22"/>
          <w:shd w:val="clear" w:color="auto" w:fill="FFFFFF"/>
        </w:rPr>
        <w:t xml:space="preserve">a) 75 milioni di euro per l’anno 2022, 300 milioni di euro per il 2023, e di </w:t>
      </w:r>
      <w:r w:rsidR="00670E6E" w:rsidRPr="00EC14DE">
        <w:rPr>
          <w:sz w:val="22"/>
          <w:szCs w:val="22"/>
          <w:shd w:val="clear" w:color="auto" w:fill="FFFFFF"/>
        </w:rPr>
        <w:t>640 milioni di euro per l’anno 2024, di 690 milioni di euro per l’anno 2025 e di 740 milioni di euro a decorrere dall’anno 2026</w:t>
      </w:r>
      <w:r w:rsidRPr="00EC14DE">
        <w:rPr>
          <w:sz w:val="22"/>
          <w:szCs w:val="22"/>
          <w:shd w:val="clear" w:color="auto" w:fill="FFFFFF"/>
        </w:rPr>
        <w:t>, destinati all'assunzione di professori universitari, ricercatori di cui all'articolo 24, comma 3, lettera b), della legge 30 dicembre 2010, n. 240 e personale tecnico amministrativo delle università,  in deroga alle vigenti facoltà assunzionali, al fine di favorire il graduale raggiungimento degli standard europei in ordine al rapporto tra il numero dei docenti e del personale tecnico amministrativo delle università e quello degli studenti</w:t>
      </w:r>
      <w:bookmarkStart w:id="102" w:name="_Hlk83982252"/>
      <w:r w:rsidRPr="00EC14DE">
        <w:rPr>
          <w:sz w:val="22"/>
          <w:szCs w:val="22"/>
          <w:shd w:val="clear" w:color="auto" w:fill="FFFFFF"/>
        </w:rPr>
        <w:t xml:space="preserve">. Con riferimento alle assunzioni di professori universitari, le risorse di cui </w:t>
      </w:r>
      <w:r w:rsidR="00687958" w:rsidRPr="00EC14DE">
        <w:rPr>
          <w:sz w:val="22"/>
          <w:szCs w:val="22"/>
          <w:shd w:val="clear" w:color="auto" w:fill="FFFFFF"/>
        </w:rPr>
        <w:t>alla presente lettera</w:t>
      </w:r>
      <w:r w:rsidRPr="00EC14DE">
        <w:rPr>
          <w:sz w:val="22"/>
          <w:szCs w:val="22"/>
          <w:shd w:val="clear" w:color="auto" w:fill="FFFFFF"/>
        </w:rPr>
        <w:t xml:space="preserve"> sono riservate esclusivamente alle procedure di cui all’articolo 18 della legge 30 dicembre 2010, n. 240, con vincolo, di almeno un quinto, per le chiamate ai sensi del comma 4 del medesimo articolo 18 della legge n. 240 del 2010. Le procedure di cui al secondo periodo finanziate con le risorse di cui al presente comma sono volte a valutare le competenze dell’aspirante nell’ambito della didattica, della ricerca e della terza missione. Con decreto del Ministro dell’università e della ricerca, da adottarsi entro novanta giorni dalla data di entrata in vigore della presente legge, sono individuati i criteri di riparto delle risorse di cui </w:t>
      </w:r>
      <w:r w:rsidR="00687958" w:rsidRPr="00EC14DE">
        <w:rPr>
          <w:sz w:val="22"/>
          <w:szCs w:val="22"/>
          <w:shd w:val="clear" w:color="auto" w:fill="FFFFFF"/>
        </w:rPr>
        <w:t>alla presente lettera</w:t>
      </w:r>
      <w:r w:rsidRPr="00EC14DE">
        <w:rPr>
          <w:sz w:val="22"/>
          <w:szCs w:val="22"/>
          <w:shd w:val="clear" w:color="auto" w:fill="FFFFFF"/>
        </w:rPr>
        <w:t xml:space="preserve">, tenendo conto, prioritariamente, dei </w:t>
      </w:r>
      <w:bookmarkStart w:id="103" w:name="_Hlk85800193"/>
      <w:r w:rsidRPr="00EC14DE">
        <w:rPr>
          <w:sz w:val="22"/>
          <w:szCs w:val="22"/>
          <w:shd w:val="clear" w:color="auto" w:fill="FFFFFF"/>
        </w:rPr>
        <w:t>risultati conseguiti dagli atenei nella Valutazione della qualità della ricerca (VQR)</w:t>
      </w:r>
      <w:bookmarkEnd w:id="103"/>
      <w:r w:rsidRPr="00EC14DE">
        <w:rPr>
          <w:sz w:val="22"/>
          <w:szCs w:val="22"/>
          <w:shd w:val="clear" w:color="auto" w:fill="FFFFFF"/>
        </w:rPr>
        <w:t xml:space="preserve"> e nella valutazione delle politiche di reclutamento. </w:t>
      </w:r>
    </w:p>
    <w:p w14:paraId="5342066D" w14:textId="77777777" w:rsidR="008865F1" w:rsidRPr="00EC14DE" w:rsidRDefault="004C09EC" w:rsidP="007C594F">
      <w:pPr>
        <w:pStyle w:val="wordsection1"/>
        <w:widowControl w:val="0"/>
        <w:jc w:val="both"/>
        <w:rPr>
          <w:sz w:val="22"/>
          <w:szCs w:val="22"/>
          <w:shd w:val="clear" w:color="auto" w:fill="FFFFFF"/>
        </w:rPr>
      </w:pPr>
      <w:bookmarkStart w:id="104" w:name="_Hlk85722879"/>
      <w:r w:rsidRPr="00EC14DE">
        <w:rPr>
          <w:sz w:val="22"/>
          <w:szCs w:val="22"/>
          <w:shd w:val="clear" w:color="auto" w:fill="FFFFFF"/>
        </w:rPr>
        <w:t xml:space="preserve">b) </w:t>
      </w:r>
      <w:bookmarkEnd w:id="104"/>
      <w:r w:rsidR="008865F1" w:rsidRPr="00EC14DE">
        <w:rPr>
          <w:sz w:val="22"/>
          <w:szCs w:val="22"/>
          <w:shd w:val="clear" w:color="auto" w:fill="FFFFFF"/>
        </w:rPr>
        <w:t xml:space="preserve">50 milioni di euro a decorrere dall’anno 2022 finalizzati alla valorizzazione del personale tecnico-amministrativo delle università statali in ragione delle specifiche attività svolte nonché del raggiungimento, da parte delle università, di più elevati obiettivi nell’ambito della didattica, ricerca e terza missione. Con decreto del Ministro dell’università e della ricerca, da adottarsi entro novanta giorni dalla data di entrata in vigore della presente legge, sono individuati i criteri di riparto delle risorse di cui </w:t>
      </w:r>
      <w:r w:rsidR="00687958" w:rsidRPr="00EC14DE">
        <w:rPr>
          <w:sz w:val="22"/>
          <w:szCs w:val="22"/>
          <w:shd w:val="clear" w:color="auto" w:fill="FFFFFF"/>
        </w:rPr>
        <w:t>alla presente lettera</w:t>
      </w:r>
      <w:r w:rsidR="008865F1" w:rsidRPr="00EC14DE">
        <w:rPr>
          <w:sz w:val="22"/>
          <w:szCs w:val="22"/>
          <w:shd w:val="clear" w:color="auto" w:fill="FFFFFF"/>
        </w:rPr>
        <w:t xml:space="preserve"> tra le singole istituzioni, nonché i principi generali per la definizione degli obiettivi e l’attribuzione delle predette risorse al personale tecnico-amministrativo. Le singole università provvedono all’assegnazione delle risorse al personale in ragione della partecipazione dello stesso ad appositi progetti finalizzati al raggiungimento di più elevati obiettivi nell’ambito della didattica, ricerca e terza missione, nel limite massimo pro capite del 15 per cento del trattamento tabellare annuo lordo, secondo criteri stabiliti mediante la contrattazione collettiva integrativa nel rispetto di quanto previsto dal decreto di cui al secondo periodo;</w:t>
      </w:r>
    </w:p>
    <w:p w14:paraId="26FD6DEC" w14:textId="77777777" w:rsidR="004C09EC" w:rsidRPr="00EC14DE" w:rsidRDefault="004C09EC" w:rsidP="007C594F">
      <w:pPr>
        <w:pStyle w:val="wordsection1"/>
        <w:widowControl w:val="0"/>
        <w:jc w:val="both"/>
        <w:rPr>
          <w:sz w:val="22"/>
          <w:szCs w:val="22"/>
          <w:shd w:val="clear" w:color="auto" w:fill="FFFFFF"/>
        </w:rPr>
      </w:pPr>
      <w:r w:rsidRPr="00EC14DE">
        <w:rPr>
          <w:sz w:val="22"/>
          <w:szCs w:val="22"/>
          <w:shd w:val="clear" w:color="auto" w:fill="FFFFFF"/>
        </w:rPr>
        <w:t>c) 10 milioni di euro a decorrere dall’anno 2022 destinati ad incentivare, a titolo di cofinanziamento, le chiamate di cui all’articolo 1, comma 9, primo periodo,</w:t>
      </w:r>
      <w:r w:rsidRPr="00EC14DE">
        <w:rPr>
          <w:sz w:val="22"/>
          <w:szCs w:val="22"/>
        </w:rPr>
        <w:t xml:space="preserve"> della legge 4 novembre 2005, n. 230;</w:t>
      </w:r>
      <w:r w:rsidRPr="00EC14DE">
        <w:rPr>
          <w:sz w:val="22"/>
          <w:szCs w:val="22"/>
          <w:shd w:val="clear" w:color="auto" w:fill="FFFFFF"/>
        </w:rPr>
        <w:t xml:space="preserve"> </w:t>
      </w:r>
    </w:p>
    <w:p w14:paraId="636EC6E8" w14:textId="77777777" w:rsidR="004C09EC" w:rsidRPr="00EC14DE" w:rsidRDefault="004C09EC" w:rsidP="007C594F">
      <w:pPr>
        <w:pStyle w:val="wordsection1"/>
        <w:widowControl w:val="0"/>
        <w:jc w:val="both"/>
        <w:rPr>
          <w:sz w:val="22"/>
          <w:szCs w:val="22"/>
          <w:shd w:val="clear" w:color="auto" w:fill="FFFFFF"/>
        </w:rPr>
      </w:pPr>
      <w:bookmarkStart w:id="105" w:name="_Hlk85792499"/>
      <w:r w:rsidRPr="00EC14DE">
        <w:rPr>
          <w:sz w:val="22"/>
          <w:szCs w:val="22"/>
          <w:shd w:val="clear" w:color="auto" w:fill="FFFFFF"/>
        </w:rPr>
        <w:t>d) 15 milioni di euro nell’anno 2022, 20 milioni di euro nell’anno 2023 e di 35 milioni di euro a decorrere dall’anno 2024 destinati alle Scuole superiori ad ordinamento speciale. Nell’ambito dell’incremento disposto ai sensi del precedente periodo, la quota del Fondo per il finanziamento ordinario delle Università (FFO) di cui all'articolo 5, comma 1, lettera a), della legge 24 dicembre 1993, n. 537 destinata alle finalità di cui all’articolo 1, comma 412, della legge 30 dicembre 2018, n. 145 è incrementata di 1,2 milioni di euro per l’anno 2022, 5,4 milioni di euro per l’anno 2023, 9,7 milioni di euro per l’anno 2024, 16,5 milioni di euro per l’anno 2025 e di 19 milioni di euro a decorrere dall’anno 2026;</w:t>
      </w:r>
    </w:p>
    <w:bookmarkEnd w:id="98"/>
    <w:bookmarkEnd w:id="102"/>
    <w:bookmarkEnd w:id="105"/>
    <w:p w14:paraId="2BD199C2" w14:textId="77777777" w:rsidR="004C09EC" w:rsidRPr="00EC14DE" w:rsidRDefault="004C09EC" w:rsidP="007C594F">
      <w:pPr>
        <w:pStyle w:val="wordsection1"/>
        <w:widowControl w:val="0"/>
        <w:jc w:val="both"/>
        <w:rPr>
          <w:sz w:val="22"/>
          <w:szCs w:val="22"/>
          <w:shd w:val="clear" w:color="auto" w:fill="FFFFFF"/>
        </w:rPr>
      </w:pPr>
      <w:r w:rsidRPr="00EC14DE">
        <w:rPr>
          <w:sz w:val="22"/>
          <w:szCs w:val="22"/>
          <w:shd w:val="clear" w:color="auto" w:fill="FFFFFF"/>
        </w:rPr>
        <w:t>e) 15 milioni di euro per l’anno 2022 e di 30 milioni di euro annui a decorrere dall'anno 2023, destinati per all’adeguamento dell'importo delle borse di studio concesse per la frequenza ai corsi di dottorato di ricerca. L'adeguamento dell'importo della borsa è definito con decreto del Ministro dell'Università e della ricerca, da adottare entro 60 giorni dalla data di entrata in vigore della presente legge.</w:t>
      </w:r>
    </w:p>
    <w:p w14:paraId="23047B66" w14:textId="77777777" w:rsidR="004C09EC" w:rsidRPr="00EC14DE" w:rsidRDefault="004C09EC" w:rsidP="007C594F">
      <w:pPr>
        <w:pStyle w:val="wordsection1"/>
        <w:widowControl w:val="0"/>
        <w:jc w:val="both"/>
        <w:rPr>
          <w:sz w:val="22"/>
          <w:szCs w:val="22"/>
          <w:shd w:val="clear" w:color="auto" w:fill="FFFFFF"/>
        </w:rPr>
      </w:pPr>
      <w:r w:rsidRPr="00EC14DE">
        <w:rPr>
          <w:sz w:val="22"/>
          <w:szCs w:val="22"/>
          <w:shd w:val="clear" w:color="auto" w:fill="FFFFFF"/>
        </w:rPr>
        <w:t>2. Lo stanziamento, iscritto nello stato di previsione della spesa del Ministero dell’università e della ricerca e destinato alle residenze universitarie statali e ai collegi di merito accreditati di cui al decreto legislativo 29 marzo 2012, n. 68, è incrementato, per ciascuno degli anni 2022 e 2023, di 2 milioni di euro.</w:t>
      </w:r>
      <w:r w:rsidRPr="00EC14DE">
        <w:rPr>
          <w:sz w:val="22"/>
          <w:szCs w:val="22"/>
        </w:rPr>
        <w:t xml:space="preserve"> </w:t>
      </w:r>
    </w:p>
    <w:p w14:paraId="7DFEBC50" w14:textId="77777777" w:rsidR="004C09EC" w:rsidRPr="00EC14DE" w:rsidRDefault="004C09EC" w:rsidP="007C594F">
      <w:pPr>
        <w:pStyle w:val="wordsection1"/>
        <w:widowControl w:val="0"/>
        <w:jc w:val="both"/>
        <w:rPr>
          <w:sz w:val="22"/>
          <w:szCs w:val="22"/>
          <w:shd w:val="clear" w:color="auto" w:fill="FFFFFF"/>
        </w:rPr>
      </w:pPr>
      <w:r w:rsidRPr="00EC14DE">
        <w:rPr>
          <w:sz w:val="22"/>
          <w:szCs w:val="22"/>
        </w:rPr>
        <w:t xml:space="preserve">3. Alla legge 28 marzo 1991, n. 113, sono apportate le seguenti modifiche: </w:t>
      </w:r>
    </w:p>
    <w:p w14:paraId="308B351C" w14:textId="77777777" w:rsidR="004C09EC" w:rsidRPr="00EC14DE" w:rsidRDefault="008C4CCA" w:rsidP="001C111E">
      <w:pPr>
        <w:pStyle w:val="wordsection1"/>
        <w:widowControl w:val="0"/>
        <w:numPr>
          <w:ilvl w:val="0"/>
          <w:numId w:val="28"/>
        </w:numPr>
        <w:contextualSpacing/>
        <w:jc w:val="both"/>
        <w:rPr>
          <w:sz w:val="22"/>
          <w:szCs w:val="22"/>
        </w:rPr>
      </w:pPr>
      <w:r w:rsidRPr="00EC14DE">
        <w:rPr>
          <w:sz w:val="22"/>
          <w:szCs w:val="22"/>
        </w:rPr>
        <w:t>a</w:t>
      </w:r>
      <w:r w:rsidR="004C09EC" w:rsidRPr="00EC14DE">
        <w:rPr>
          <w:sz w:val="22"/>
          <w:szCs w:val="22"/>
        </w:rPr>
        <w:t xml:space="preserve">ll’articolo 1, dopo il comma 3, è aggiunto il seguente: “3-bis. </w:t>
      </w:r>
      <w:r w:rsidR="004C09EC" w:rsidRPr="00EC14DE">
        <w:rPr>
          <w:sz w:val="22"/>
          <w:szCs w:val="22"/>
          <w:shd w:val="clear" w:color="auto" w:fill="FFFFFF"/>
        </w:rPr>
        <w:t>Al fine di sostenere e incentivare in maniera organica e sistematica la diffusione della cultura scientifica, anche a vantaggio della tutela, fruizione e valorizzazione del patrimonio culturale del Paese, è autorizzato un contributo annuale, a decorrere dall’anno 2022, di 1,</w:t>
      </w:r>
      <w:r w:rsidR="008B1C77" w:rsidRPr="00EC14DE">
        <w:rPr>
          <w:sz w:val="22"/>
          <w:szCs w:val="22"/>
          <w:shd w:val="clear" w:color="auto" w:fill="FFFFFF"/>
        </w:rPr>
        <w:t>5</w:t>
      </w:r>
      <w:r w:rsidR="004C09EC" w:rsidRPr="00EC14DE">
        <w:rPr>
          <w:sz w:val="22"/>
          <w:szCs w:val="22"/>
          <w:shd w:val="clear" w:color="auto" w:fill="FFFFFF"/>
        </w:rPr>
        <w:t xml:space="preserve"> milioni di euro per ciascuno dei seguenti enti: Fondazione IDIS-Città della Scienza di Napoli, Museo Nazionale della Scienza e della Tecnologia Leonardo da Vinci di Milano e Museo Galileo di Firenze. Il Ministero dell’università e della ricerca esercita sui tre enti di cui al presente comma attività di vigilanza, anche attraverso l’approvazione degli Statuti, la nomina degli Organi di amministrazione e controllo e l’approvazione </w:t>
      </w:r>
      <w:r w:rsidR="008B1C77" w:rsidRPr="00EC14DE">
        <w:rPr>
          <w:sz w:val="22"/>
          <w:szCs w:val="22"/>
          <w:shd w:val="clear" w:color="auto" w:fill="FFFFFF"/>
        </w:rPr>
        <w:t>dei Piani Triennali di Attività</w:t>
      </w:r>
      <w:r w:rsidR="004C09EC" w:rsidRPr="00EC14DE">
        <w:rPr>
          <w:sz w:val="22"/>
          <w:szCs w:val="22"/>
          <w:shd w:val="clear" w:color="auto" w:fill="FFFFFF"/>
        </w:rPr>
        <w:t xml:space="preserve">. </w:t>
      </w:r>
      <w:r w:rsidR="004C09EC" w:rsidRPr="00EC14DE">
        <w:rPr>
          <w:sz w:val="22"/>
          <w:szCs w:val="22"/>
        </w:rPr>
        <w:t>A decorrere dall’anno 2022 ai tre enti di cui al presente comma è precluso il contributo di cui al comma 3.”;</w:t>
      </w:r>
    </w:p>
    <w:p w14:paraId="67814A50" w14:textId="77777777" w:rsidR="004C09EC" w:rsidRPr="00EC14DE" w:rsidRDefault="008C4CCA" w:rsidP="008B1C77">
      <w:pPr>
        <w:pStyle w:val="wordsection1"/>
        <w:widowControl w:val="0"/>
        <w:numPr>
          <w:ilvl w:val="0"/>
          <w:numId w:val="28"/>
        </w:numPr>
        <w:contextualSpacing/>
        <w:jc w:val="both"/>
        <w:rPr>
          <w:sz w:val="22"/>
          <w:szCs w:val="22"/>
        </w:rPr>
      </w:pPr>
      <w:r w:rsidRPr="00EC14DE">
        <w:rPr>
          <w:sz w:val="22"/>
          <w:szCs w:val="22"/>
        </w:rPr>
        <w:t>a</w:t>
      </w:r>
      <w:r w:rsidR="004C09EC" w:rsidRPr="00EC14DE">
        <w:rPr>
          <w:sz w:val="22"/>
          <w:szCs w:val="22"/>
        </w:rPr>
        <w:t>ll’articolo 2-</w:t>
      </w:r>
      <w:r w:rsidR="004C09EC" w:rsidRPr="00EC14DE">
        <w:rPr>
          <w:i/>
          <w:iCs/>
          <w:sz w:val="22"/>
          <w:szCs w:val="22"/>
        </w:rPr>
        <w:t>bis</w:t>
      </w:r>
      <w:r w:rsidR="004C09EC" w:rsidRPr="00EC14DE">
        <w:rPr>
          <w:sz w:val="22"/>
          <w:szCs w:val="22"/>
        </w:rPr>
        <w:t xml:space="preserve">, il primo periodo </w:t>
      </w:r>
      <w:r w:rsidR="00713D3C" w:rsidRPr="00EC14DE">
        <w:rPr>
          <w:sz w:val="22"/>
          <w:szCs w:val="22"/>
        </w:rPr>
        <w:t>è sostituito dal seguente:</w:t>
      </w:r>
      <w:r w:rsidR="00E76FA7" w:rsidRPr="00EC14DE">
        <w:rPr>
          <w:sz w:val="22"/>
          <w:szCs w:val="22"/>
        </w:rPr>
        <w:t xml:space="preserve"> </w:t>
      </w:r>
      <w:r w:rsidR="00C27666" w:rsidRPr="00EC14DE">
        <w:rPr>
          <w:sz w:val="22"/>
          <w:szCs w:val="22"/>
        </w:rPr>
        <w:t>“</w:t>
      </w:r>
      <w:r w:rsidR="004C09EC" w:rsidRPr="00EC14DE">
        <w:rPr>
          <w:sz w:val="22"/>
          <w:szCs w:val="22"/>
        </w:rPr>
        <w:t>Della somma di cui all’articolo 2, euro</w:t>
      </w:r>
      <w:r w:rsidR="008B1C77" w:rsidRPr="00EC14DE">
        <w:rPr>
          <w:sz w:val="22"/>
          <w:szCs w:val="22"/>
        </w:rPr>
        <w:t xml:space="preserve"> 4.500.000,00 sono </w:t>
      </w:r>
      <w:r w:rsidR="004C09EC" w:rsidRPr="00EC14DE">
        <w:rPr>
          <w:sz w:val="22"/>
          <w:szCs w:val="22"/>
        </w:rPr>
        <w:t>riservati annualmente al contributo di cui all’articolo 1, comma 3-bis, e della somma residua disponibile almeno il 60 per cento è riservato annualmente al finanziamento ordinario degli enti, fondazioni, strutture e consorzi, nonché delle intese e degli accordi di cui all’articolo 1, commi 3 e 4.”</w:t>
      </w:r>
    </w:p>
    <w:p w14:paraId="660CC26A" w14:textId="77777777" w:rsidR="00670E6E" w:rsidRPr="00EC14DE" w:rsidRDefault="0009428F" w:rsidP="00670E6E">
      <w:pPr>
        <w:pStyle w:val="wordsection1"/>
        <w:widowControl w:val="0"/>
        <w:jc w:val="both"/>
        <w:rPr>
          <w:rFonts w:eastAsia="Calibri"/>
          <w:sz w:val="22"/>
          <w:szCs w:val="22"/>
          <w:lang w:eastAsia="en-US"/>
        </w:rPr>
      </w:pPr>
      <w:r w:rsidRPr="00EC14DE">
        <w:rPr>
          <w:rFonts w:eastAsia="Calibri"/>
          <w:sz w:val="22"/>
          <w:szCs w:val="22"/>
          <w:lang w:eastAsia="en-US"/>
        </w:rPr>
        <w:t>4. All’articolo 1</w:t>
      </w:r>
      <w:r w:rsidR="00670E6E" w:rsidRPr="00EC14DE">
        <w:rPr>
          <w:rFonts w:eastAsia="Calibri"/>
          <w:sz w:val="22"/>
          <w:szCs w:val="22"/>
          <w:lang w:eastAsia="en-US"/>
        </w:rPr>
        <w:t xml:space="preserve"> della legge 23 dicembre 2014, n. 190</w:t>
      </w:r>
      <w:r w:rsidRPr="00EC14DE">
        <w:rPr>
          <w:rFonts w:eastAsia="Calibri"/>
          <w:sz w:val="22"/>
          <w:szCs w:val="22"/>
          <w:lang w:eastAsia="en-US"/>
        </w:rPr>
        <w:t>, il comma 342</w:t>
      </w:r>
      <w:r w:rsidR="00670E6E" w:rsidRPr="00EC14DE">
        <w:rPr>
          <w:rFonts w:eastAsia="Calibri"/>
          <w:sz w:val="22"/>
          <w:szCs w:val="22"/>
          <w:lang w:eastAsia="en-US"/>
        </w:rPr>
        <w:t xml:space="preserve"> è sostituito dal seguente: “342. A decorrere dall’anno 202</w:t>
      </w:r>
      <w:r w:rsidR="00EB4661" w:rsidRPr="00EC14DE">
        <w:rPr>
          <w:rFonts w:eastAsia="Calibri"/>
          <w:sz w:val="22"/>
          <w:szCs w:val="22"/>
          <w:lang w:eastAsia="en-US"/>
        </w:rPr>
        <w:t>2</w:t>
      </w:r>
      <w:r w:rsidR="00670E6E" w:rsidRPr="00EC14DE">
        <w:rPr>
          <w:rFonts w:eastAsia="Calibri"/>
          <w:sz w:val="22"/>
          <w:szCs w:val="22"/>
          <w:lang w:eastAsia="en-US"/>
        </w:rPr>
        <w:t>, il rimborso delle spese sostenute, i compensi e le indennità spettanti al Presidente, al Direttore e ai componenti del consiglio di amministrazione delle istituzioni dell'alta formazione artistica, musicale e coreutica, di cui alla legge 21 dicembre 1999, n. 508 sono determinati con decreto del Ministro dell'università e della ricerca, di concerto con il Ministro dell'economia e delle finanze, e sono a carico dei bilanci delle suddette istituzioni”.</w:t>
      </w:r>
    </w:p>
    <w:p w14:paraId="128B572B" w14:textId="77777777" w:rsidR="00670E6E" w:rsidRPr="00EC14DE" w:rsidRDefault="00670E6E" w:rsidP="00670E6E">
      <w:pPr>
        <w:pStyle w:val="wordsection1"/>
        <w:widowControl w:val="0"/>
        <w:jc w:val="both"/>
        <w:rPr>
          <w:rFonts w:eastAsia="Calibri"/>
          <w:sz w:val="22"/>
          <w:szCs w:val="22"/>
          <w:lang w:eastAsia="en-US"/>
        </w:rPr>
      </w:pPr>
      <w:r w:rsidRPr="00EC14DE">
        <w:rPr>
          <w:rFonts w:eastAsia="Calibri"/>
          <w:sz w:val="22"/>
          <w:szCs w:val="22"/>
          <w:lang w:eastAsia="en-US"/>
        </w:rPr>
        <w:t>5. Il nucleo di valutazione di cui all’articolo 4, comma 1, lettera f) del regolamento di cui al decreto del Presidente della Repubblica 28 febbraio 2003, n. 132, è costituito con delibera del consiglio di amministrazione, sentito il consiglio accademico, ed è formato da tre componenti aventi competenze differenziate, di cui due scelti tra esperti esterni, anche stranieri, scelti dalle istituzioni seguendo i criteri e le linee guida elaborati dall’Agenzia nazionale di valutazione del sistema universitario e della ricerca. Ai componenti del nucleo di valutazione è riconosciuto il diritto al compenso, a valere sulle ris</w:t>
      </w:r>
      <w:r w:rsidR="004A1C28" w:rsidRPr="00EC14DE">
        <w:rPr>
          <w:rFonts w:eastAsia="Calibri"/>
          <w:sz w:val="22"/>
          <w:szCs w:val="22"/>
          <w:lang w:eastAsia="en-US"/>
        </w:rPr>
        <w:t xml:space="preserve">orse proprie delle Istituzioni, definito con decreto del Ministro dell’università e della ricerca di concerto con il Ministro dell'economia e delle finanze. </w:t>
      </w:r>
      <w:r w:rsidRPr="00EC14DE">
        <w:rPr>
          <w:rFonts w:eastAsia="Calibri"/>
          <w:sz w:val="22"/>
          <w:szCs w:val="22"/>
          <w:lang w:eastAsia="en-US"/>
        </w:rPr>
        <w:t>È abrogato l’articolo 1, comma 645, della legge 27 dicembre 2017, n. 205.</w:t>
      </w:r>
    </w:p>
    <w:p w14:paraId="069BCD5D" w14:textId="77777777" w:rsidR="00670E6E" w:rsidRPr="00EC14DE" w:rsidRDefault="00670E6E" w:rsidP="00670E6E">
      <w:pPr>
        <w:pStyle w:val="wordsection1"/>
        <w:widowControl w:val="0"/>
        <w:jc w:val="both"/>
        <w:rPr>
          <w:rFonts w:eastAsia="Calibri"/>
          <w:sz w:val="22"/>
          <w:szCs w:val="22"/>
          <w:lang w:eastAsia="en-US"/>
        </w:rPr>
      </w:pPr>
      <w:r w:rsidRPr="00EC14DE">
        <w:rPr>
          <w:rFonts w:eastAsia="Calibri"/>
          <w:sz w:val="22"/>
          <w:szCs w:val="22"/>
          <w:lang w:eastAsia="en-US"/>
        </w:rPr>
        <w:t>6. All’articolo 1, comma 892, della legge 30 dicembre 2020, n. 178, sono apportate le seguenti modifiche:</w:t>
      </w:r>
    </w:p>
    <w:p w14:paraId="222219DE" w14:textId="77777777" w:rsidR="00670E6E" w:rsidRPr="00EC14DE" w:rsidRDefault="00670E6E" w:rsidP="00670E6E">
      <w:pPr>
        <w:pStyle w:val="wordsection1"/>
        <w:widowControl w:val="0"/>
        <w:ind w:left="426"/>
        <w:jc w:val="both"/>
        <w:rPr>
          <w:rFonts w:eastAsia="Calibri"/>
          <w:sz w:val="22"/>
          <w:szCs w:val="22"/>
          <w:lang w:eastAsia="en-US"/>
        </w:rPr>
      </w:pPr>
      <w:r w:rsidRPr="00EC14DE">
        <w:rPr>
          <w:rFonts w:eastAsia="Calibri"/>
          <w:sz w:val="22"/>
          <w:szCs w:val="22"/>
          <w:lang w:eastAsia="en-US"/>
        </w:rPr>
        <w:t>a) le parole “15 milioni” sono sostituite dalle seguenti: “19,5 milioni”;</w:t>
      </w:r>
    </w:p>
    <w:p w14:paraId="11470C27" w14:textId="77777777" w:rsidR="00670E6E" w:rsidRPr="00EC14DE" w:rsidRDefault="00670E6E" w:rsidP="00670E6E">
      <w:pPr>
        <w:pStyle w:val="wordsection1"/>
        <w:widowControl w:val="0"/>
        <w:ind w:left="426"/>
        <w:jc w:val="both"/>
        <w:rPr>
          <w:rFonts w:eastAsia="Calibri"/>
          <w:sz w:val="22"/>
          <w:szCs w:val="22"/>
          <w:lang w:eastAsia="en-US"/>
        </w:rPr>
      </w:pPr>
      <w:r w:rsidRPr="00EC14DE">
        <w:rPr>
          <w:rFonts w:eastAsia="Calibri"/>
          <w:sz w:val="22"/>
          <w:szCs w:val="22"/>
          <w:lang w:eastAsia="en-US"/>
        </w:rPr>
        <w:t>b) dopo le parole “tra le istituzioni statali di alta formazione artistica, musicale e coreutica” sono aggiunte le seguenti: “, ivi comprese, in esito ai relativi processi di statizzazione, quelle di cui all’art. 22-bis del decreto-legge 24 aprile 2017, n. 50, convertito, con modificazioni, dalla legge 21 giugno 2017, n. 96”.</w:t>
      </w:r>
    </w:p>
    <w:p w14:paraId="6DA9F7FA" w14:textId="77777777" w:rsidR="00670E6E" w:rsidRPr="00EC14DE" w:rsidRDefault="00670E6E" w:rsidP="00670E6E">
      <w:pPr>
        <w:pStyle w:val="wordsection1"/>
        <w:widowControl w:val="0"/>
        <w:jc w:val="both"/>
        <w:rPr>
          <w:rFonts w:eastAsia="Calibri"/>
          <w:sz w:val="22"/>
          <w:szCs w:val="22"/>
          <w:lang w:eastAsia="en-US"/>
        </w:rPr>
      </w:pPr>
      <w:r w:rsidRPr="00EC14DE">
        <w:rPr>
          <w:rFonts w:eastAsia="Calibri"/>
          <w:sz w:val="22"/>
          <w:szCs w:val="22"/>
          <w:lang w:eastAsia="en-US"/>
        </w:rPr>
        <w:t>7. Ai fini del riconoscimento delle specifiche attività svolte nonché della valorizzazione delle competenze necessarie al raggiungimento, da parte delle istituzioni dell’alta formazione artistica musicale e coreutica di più elevati obiettivi nell’ambito della didattica, ricerca e terza missione, al personale di tali istituzioni, è autorizzata la spesa di 8,5 milioni di euro a decorrere dall’anno 2022. Con decreto del Ministro dell’università e della ricerca, da adottarsi entro novanta giorni dalla data di entrata in vigore della presente legge, sono individuati i criteri di riparto delle risorse di cui al presente comma tra le singole istituzioni, nonché i principi generali per la definizione degli obiettivi e l’attribuzione delle predette risorse al personale. Le singole istituzioni provvedono all’assegnazione delle risorse al personale in ragione della partecipazione dello stesso ad appositi progetti finalizzati al raggiungimento di più elevati obiettivi nell’ambito della didattica e della ricerca, nel limite massimo pro capite del 15 per cento del trattamento tabellare annuo lordo, secondo criteri stabiliti mediante la contrattazione collettiva integrativa nel rispetto di quanto previsto dal decreto di cui al secondo periodo.</w:t>
      </w:r>
    </w:p>
    <w:p w14:paraId="2C9B1A6C" w14:textId="77777777" w:rsidR="0044321A" w:rsidRPr="00EC14DE" w:rsidRDefault="003020C4"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(Misure a sostegno della ricerca</w:t>
      </w:r>
      <w:r w:rsidR="00D045E6" w:rsidRPr="00EC14DE">
        <w:t>)</w:t>
      </w:r>
    </w:p>
    <w:p w14:paraId="55516A97" w14:textId="77777777" w:rsidR="00753479" w:rsidRPr="00EC14DE" w:rsidRDefault="00753479" w:rsidP="007C594F">
      <w:pPr>
        <w:pStyle w:val="wordsection1"/>
        <w:widowControl w:val="0"/>
        <w:jc w:val="both"/>
        <w:rPr>
          <w:sz w:val="22"/>
          <w:szCs w:val="22"/>
        </w:rPr>
      </w:pPr>
      <w:bookmarkStart w:id="106" w:name="_Hlk83134719"/>
      <w:r w:rsidRPr="00EC14DE">
        <w:rPr>
          <w:sz w:val="22"/>
          <w:szCs w:val="22"/>
        </w:rPr>
        <w:t>1. Il fondo ordinario per gli enti e le istituzioni di ricerca, di cui all'articolo 7 del decreto legislativo 5 giugno 1998, n. 204, è incrementato di 90 milioni di euro per ciascuno degli anni 2022, 2023 e 2024 e di 100 milioni euro annui a decorrere dall'anno 2025 di cui:</w:t>
      </w:r>
    </w:p>
    <w:p w14:paraId="2F72F607" w14:textId="77777777" w:rsidR="00753479" w:rsidRPr="00EC14DE" w:rsidRDefault="00753479" w:rsidP="007C594F">
      <w:pPr>
        <w:pStyle w:val="wordsection1"/>
        <w:widowControl w:val="0"/>
        <w:jc w:val="both"/>
        <w:rPr>
          <w:b/>
          <w:bCs/>
          <w:sz w:val="22"/>
          <w:szCs w:val="22"/>
        </w:rPr>
      </w:pPr>
      <w:r w:rsidRPr="00EC14DE">
        <w:rPr>
          <w:sz w:val="22"/>
          <w:szCs w:val="22"/>
        </w:rPr>
        <w:t xml:space="preserve">a) Fatto salvo quanto previsto dai punti b) e c), una quota, pari a </w:t>
      </w:r>
      <w:r w:rsidR="00D756C6" w:rsidRPr="00EC14DE">
        <w:rPr>
          <w:sz w:val="22"/>
          <w:szCs w:val="22"/>
        </w:rPr>
        <w:t>30</w:t>
      </w:r>
      <w:r w:rsidRPr="00EC14DE">
        <w:rPr>
          <w:sz w:val="22"/>
          <w:szCs w:val="22"/>
        </w:rPr>
        <w:t xml:space="preserve"> milioni di euro p</w:t>
      </w:r>
      <w:r w:rsidR="00D756C6" w:rsidRPr="00EC14DE">
        <w:rPr>
          <w:sz w:val="22"/>
          <w:szCs w:val="22"/>
        </w:rPr>
        <w:t xml:space="preserve">er ciascuno degli anni 2022, </w:t>
      </w:r>
      <w:r w:rsidRPr="00EC14DE">
        <w:rPr>
          <w:sz w:val="22"/>
          <w:szCs w:val="22"/>
        </w:rPr>
        <w:t xml:space="preserve">2023 </w:t>
      </w:r>
      <w:r w:rsidR="00D756C6" w:rsidRPr="00EC14DE">
        <w:rPr>
          <w:sz w:val="22"/>
          <w:szCs w:val="22"/>
        </w:rPr>
        <w:t xml:space="preserve">e 2024 </w:t>
      </w:r>
      <w:r w:rsidRPr="00EC14DE">
        <w:rPr>
          <w:sz w:val="22"/>
          <w:szCs w:val="22"/>
        </w:rPr>
        <w:t xml:space="preserve">e di </w:t>
      </w:r>
      <w:r w:rsidR="00D756C6" w:rsidRPr="00EC14DE">
        <w:rPr>
          <w:sz w:val="22"/>
          <w:szCs w:val="22"/>
        </w:rPr>
        <w:t xml:space="preserve">40 </w:t>
      </w:r>
      <w:r w:rsidRPr="00EC14DE">
        <w:rPr>
          <w:sz w:val="22"/>
          <w:szCs w:val="22"/>
        </w:rPr>
        <w:t xml:space="preserve">milioni di euro a decorrere dall’anno 2025 sono ripartiti tra gli enti pubblici di ricerca vigilati dal Ministero dell’università e della ricerca, ad eccezione del Consiglio Nazionale delle Ricerche – CNR. Nell’ambito della quota di cui al secondo periodo, 2,5 milioni di euro a decorrere dall’anno 2022 sono vincolati </w:t>
      </w:r>
      <w:r w:rsidR="00773FBD" w:rsidRPr="00EC14DE">
        <w:rPr>
          <w:sz w:val="22"/>
          <w:szCs w:val="22"/>
        </w:rPr>
        <w:t>alla copertura dei costi connessi alle procedure di cui all’articolo</w:t>
      </w:r>
      <w:r w:rsidRPr="00EC14DE">
        <w:rPr>
          <w:sz w:val="22"/>
          <w:szCs w:val="22"/>
        </w:rPr>
        <w:t xml:space="preserve"> 20 del decreto legislativo 25 maggio 2017, n. 75. Con decreto del Ministro dell’università e della ricerca, da adottarsi entro novanta giorni dalla data di entrata in vigore della presente legge, sono individuati i criteri di riparto tra gli enti pubblici di ricerca delle risorse di cui </w:t>
      </w:r>
      <w:r w:rsidR="00687958" w:rsidRPr="00EC14DE">
        <w:rPr>
          <w:sz w:val="22"/>
          <w:szCs w:val="22"/>
        </w:rPr>
        <w:t>alla presente lettera</w:t>
      </w:r>
      <w:r w:rsidRPr="00EC14DE">
        <w:rPr>
          <w:sz w:val="22"/>
          <w:szCs w:val="22"/>
        </w:rPr>
        <w:t xml:space="preserve">. </w:t>
      </w:r>
    </w:p>
    <w:p w14:paraId="685535D8" w14:textId="77777777" w:rsidR="00753479" w:rsidRPr="00EC14DE" w:rsidRDefault="00753479" w:rsidP="007C594F">
      <w:pPr>
        <w:pStyle w:val="wordsection1"/>
        <w:widowControl w:val="0"/>
        <w:jc w:val="both"/>
        <w:rPr>
          <w:sz w:val="22"/>
          <w:szCs w:val="22"/>
        </w:rPr>
      </w:pPr>
      <w:r w:rsidRPr="00EC14DE">
        <w:rPr>
          <w:sz w:val="22"/>
          <w:szCs w:val="22"/>
        </w:rPr>
        <w:t xml:space="preserve">b) 40 milioni di euro a decorrere dall’anno 2022, è destinata alla promozione dello sviluppo professionale di ricercatori e tecnologi di ruolo al terzo livello in servizio alla data di entrata in vigore della presente legge. Con decreto del Ministro dell’università e della ricerca, da adottarsi entro novanta giorni dalla data di entrata in vigore delle disposizioni relative alla messa ad esaurimento dei profili di ricercatore e tecnologo di terzo livello, sono stabiliti i criteri di riparto tra gli enti pubblici di ricerca vigilati dal Ministero dell’università e della ricerca delle risorse di cui </w:t>
      </w:r>
      <w:r w:rsidR="00687958" w:rsidRPr="00EC14DE">
        <w:rPr>
          <w:sz w:val="22"/>
          <w:szCs w:val="22"/>
        </w:rPr>
        <w:t>alla presente lettera</w:t>
      </w:r>
      <w:r w:rsidRPr="00EC14DE">
        <w:rPr>
          <w:sz w:val="22"/>
          <w:szCs w:val="22"/>
        </w:rPr>
        <w:t xml:space="preserve">. Gli enti pubblici di ricerca possono indire procedure selettive riservate a ricercatori e tecnologi al terzo livello professionale per l'accesso al secondo livello nei limiti delle risorse assegnate con il decreto di cui al secondo periodo. I componenti delle commissioni per le procedure selettive di cui </w:t>
      </w:r>
      <w:r w:rsidR="00687958" w:rsidRPr="00EC14DE">
        <w:rPr>
          <w:sz w:val="22"/>
          <w:szCs w:val="22"/>
        </w:rPr>
        <w:t>alla presente lettera</w:t>
      </w:r>
      <w:r w:rsidRPr="00EC14DE">
        <w:rPr>
          <w:sz w:val="22"/>
          <w:szCs w:val="22"/>
        </w:rPr>
        <w:t xml:space="preserve"> sono scelti esclusivamente tra esperti di elevata qualificazione nelle aree scientifiche e nei settori tecnologici di riferimento, esterni all'ente.</w:t>
      </w:r>
    </w:p>
    <w:p w14:paraId="27FF8E5D" w14:textId="77777777" w:rsidR="00753479" w:rsidRPr="00EC14DE" w:rsidRDefault="00753479" w:rsidP="007C594F">
      <w:pPr>
        <w:pStyle w:val="wordsection1"/>
        <w:widowControl w:val="0"/>
        <w:jc w:val="both"/>
        <w:rPr>
          <w:sz w:val="22"/>
          <w:szCs w:val="22"/>
          <w:shd w:val="clear" w:color="auto" w:fill="FFFFFF"/>
        </w:rPr>
      </w:pPr>
      <w:r w:rsidRPr="00EC14DE">
        <w:rPr>
          <w:sz w:val="22"/>
          <w:szCs w:val="22"/>
          <w:shd w:val="clear" w:color="auto" w:fill="FFFFFF"/>
        </w:rPr>
        <w:t>c)</w:t>
      </w:r>
      <w:r w:rsidR="006526C8" w:rsidRPr="00EC14DE">
        <w:rPr>
          <w:sz w:val="22"/>
          <w:szCs w:val="22"/>
          <w:shd w:val="clear" w:color="auto" w:fill="FFFFFF"/>
        </w:rPr>
        <w:t xml:space="preserve"> </w:t>
      </w:r>
      <w:r w:rsidR="00D756C6" w:rsidRPr="00EC14DE">
        <w:rPr>
          <w:sz w:val="22"/>
          <w:szCs w:val="22"/>
          <w:shd w:val="clear" w:color="auto" w:fill="FFFFFF"/>
        </w:rPr>
        <w:t xml:space="preserve">20 </w:t>
      </w:r>
      <w:r w:rsidRPr="00EC14DE">
        <w:rPr>
          <w:sz w:val="22"/>
          <w:szCs w:val="22"/>
          <w:shd w:val="clear" w:color="auto" w:fill="FFFFFF"/>
        </w:rPr>
        <w:t xml:space="preserve">milioni di euro a decorrere dall’anno 2022, è finalizzata alla valorizzazione del personale tecnico-amministrativo degli enti pubblici di ricerca vigilati dal Ministero dell’Università e della ricerca in ragione delle specifiche attività svolte nonché del raggiungimento di più elevati obiettivi nell’ambito della ricerca pubblica. Con decreto del Ministro dell’università e della ricerca, da adottarsi entro novanta giorni dalla data di entrata in vigore della presente legge, sono individuati i criteri di riparto tra gli enti pubblici di ricerca delle risorse di cui </w:t>
      </w:r>
      <w:r w:rsidR="00687958" w:rsidRPr="00EC14DE">
        <w:rPr>
          <w:sz w:val="22"/>
          <w:szCs w:val="22"/>
          <w:shd w:val="clear" w:color="auto" w:fill="FFFFFF"/>
        </w:rPr>
        <w:t>alla presente lettera</w:t>
      </w:r>
      <w:r w:rsidR="004A622D" w:rsidRPr="00EC14DE">
        <w:rPr>
          <w:sz w:val="22"/>
          <w:szCs w:val="22"/>
          <w:shd w:val="clear" w:color="auto" w:fill="FFFFFF"/>
        </w:rPr>
        <w:t xml:space="preserve"> tra i singoli enti, nonché i principi generali per la definizione degli obiettivi e l’attribuzione delle predette risorse al personale tecnico-amministrativo. Gli enti pubblici di ricerca provvedono all’assegnazione delle risorse al personale in ragione della partecipazione dello stesso ad appositi progetti finalizzati al raggiungimento di più elevati obiettivi nell’ambito della ricerca, nel limite massimo pro capite del 15 per cento del trattamento tabellare annuo lordo, secondo criteri stabiliti mediante la contrattazione collettiva integrativa nel rispetto di quanto previsto dal decreto di cui al secondo periodo.</w:t>
      </w:r>
    </w:p>
    <w:p w14:paraId="12055909" w14:textId="77777777" w:rsidR="00753479" w:rsidRPr="00EC14DE" w:rsidRDefault="00753479" w:rsidP="007C594F">
      <w:pPr>
        <w:pStyle w:val="wordsection1"/>
        <w:widowControl w:val="0"/>
        <w:jc w:val="both"/>
        <w:rPr>
          <w:sz w:val="22"/>
          <w:szCs w:val="22"/>
        </w:rPr>
      </w:pPr>
      <w:r w:rsidRPr="00EC14DE">
        <w:rPr>
          <w:sz w:val="22"/>
          <w:szCs w:val="22"/>
        </w:rPr>
        <w:t xml:space="preserve">2. La dotazione del “Fondo italiano per la scienza” di cui all’articolo 61 del decreto-legge 25 maggio 2021, n. 73, convertito, con modificazioni, dalla legge 23 luglio 2021, n. 106, è incrementato di 50 milioni di euro per l’anno 2023 e di 100 milioni di euro </w:t>
      </w:r>
      <w:r w:rsidR="009B55CD" w:rsidRPr="00EC14DE">
        <w:rPr>
          <w:sz w:val="22"/>
          <w:szCs w:val="22"/>
        </w:rPr>
        <w:t>a decorrere dall’anno</w:t>
      </w:r>
      <w:r w:rsidRPr="00EC14DE">
        <w:rPr>
          <w:sz w:val="22"/>
          <w:szCs w:val="22"/>
        </w:rPr>
        <w:t xml:space="preserve"> 2024. </w:t>
      </w:r>
    </w:p>
    <w:p w14:paraId="72355A2D" w14:textId="77777777" w:rsidR="00753479" w:rsidRPr="00EC14DE" w:rsidRDefault="00753479" w:rsidP="007C594F">
      <w:pPr>
        <w:pStyle w:val="wordsection1"/>
        <w:widowControl w:val="0"/>
        <w:jc w:val="both"/>
        <w:rPr>
          <w:sz w:val="22"/>
          <w:szCs w:val="22"/>
        </w:rPr>
      </w:pPr>
      <w:r w:rsidRPr="00EC14DE">
        <w:rPr>
          <w:sz w:val="22"/>
          <w:szCs w:val="22"/>
        </w:rPr>
        <w:t>3. Al fine di promuovere la competitività del sistema produttivo nazionale, attraverso la valorizzazione della ricerca industriale e dello sviluppo sperimentale, è istituito, nello stato di previsione del Ministero dell'università e della ricerca, un apposito fondo, denominato “Fondo italiano per le scienze applicate” con una dotazione di 50 milioni di euro per l’anno 2022, di 150 m</w:t>
      </w:r>
      <w:r w:rsidR="00641BEC" w:rsidRPr="00EC14DE">
        <w:rPr>
          <w:sz w:val="22"/>
          <w:szCs w:val="22"/>
        </w:rPr>
        <w:t>ilioni di euro per l’anno 2023,</w:t>
      </w:r>
      <w:r w:rsidRPr="00EC14DE">
        <w:rPr>
          <w:sz w:val="22"/>
          <w:szCs w:val="22"/>
        </w:rPr>
        <w:t xml:space="preserve"> di 2</w:t>
      </w:r>
      <w:r w:rsidR="00641BEC" w:rsidRPr="00EC14DE">
        <w:rPr>
          <w:sz w:val="22"/>
          <w:szCs w:val="22"/>
        </w:rPr>
        <w:t>0</w:t>
      </w:r>
      <w:r w:rsidRPr="00EC14DE">
        <w:rPr>
          <w:sz w:val="22"/>
          <w:szCs w:val="22"/>
        </w:rPr>
        <w:t>0 milioni di euro per l’anno 2024</w:t>
      </w:r>
      <w:r w:rsidR="00641BEC" w:rsidRPr="00EC14DE">
        <w:rPr>
          <w:sz w:val="22"/>
          <w:szCs w:val="22"/>
        </w:rPr>
        <w:t xml:space="preserve"> e di 250 milioni a decorrere dall’anno 2025.</w:t>
      </w:r>
      <w:r w:rsidRPr="00EC14DE">
        <w:rPr>
          <w:sz w:val="22"/>
          <w:szCs w:val="22"/>
        </w:rPr>
        <w:t xml:space="preserve"> Con decreto del Ministro dell'università e della ricerca, di concerto con il Ministro dello sviluppo economico, da adottare entro novanta giorni dalla data di entrata in vigore della presente legge, sono stabiliti i criteri e le modalità per l'assegnazione delle risorse del fondo. Nell’ambito di tali criteri sono valorizzate le progettualità con una maggiore quota di cofinanziamento a carico di soggetti privati. </w:t>
      </w:r>
    </w:p>
    <w:p w14:paraId="03D15B20" w14:textId="77777777" w:rsidR="00753479" w:rsidRPr="00EC14DE" w:rsidRDefault="00753479" w:rsidP="007C594F">
      <w:pPr>
        <w:pStyle w:val="wordsection1"/>
        <w:widowControl w:val="0"/>
        <w:jc w:val="both"/>
        <w:rPr>
          <w:sz w:val="22"/>
          <w:szCs w:val="22"/>
        </w:rPr>
      </w:pPr>
      <w:r w:rsidRPr="00EC14DE">
        <w:rPr>
          <w:sz w:val="22"/>
          <w:szCs w:val="22"/>
        </w:rPr>
        <w:t>4. Per le finalità di cui al comma 5, dell’articolo 19 del decreto legislativo 25 novembre 2016, n. 218, concernente è disposto lo stanziamento di 30 milioni di euro per l’anno 2023. Ai fini del riparto delle risorse di cui al presente comma, il decreto del Ministro dell’università e della ricerca di cui al comma 5 dell’articolo 19 del decreto legislativo n. 218 del 2016 tiene conto anche dei</w:t>
      </w:r>
      <w:r w:rsidRPr="00EC14DE">
        <w:rPr>
          <w:sz w:val="22"/>
          <w:szCs w:val="22"/>
          <w:shd w:val="clear" w:color="auto" w:fill="FFFFFF"/>
        </w:rPr>
        <w:t xml:space="preserve"> risultati conseguiti dagli enti pubblici di ricerca nella Valutazione della qualità della ricerca (VQR).</w:t>
      </w:r>
      <w:r w:rsidRPr="00EC14DE">
        <w:rPr>
          <w:sz w:val="22"/>
          <w:szCs w:val="22"/>
        </w:rPr>
        <w:t xml:space="preserve"> </w:t>
      </w:r>
    </w:p>
    <w:p w14:paraId="11A187F6" w14:textId="77777777" w:rsidR="00753479" w:rsidRPr="00EC14DE" w:rsidRDefault="00753479" w:rsidP="007C594F">
      <w:pPr>
        <w:pStyle w:val="wordsection1"/>
        <w:widowControl w:val="0"/>
        <w:jc w:val="both"/>
        <w:rPr>
          <w:sz w:val="22"/>
          <w:szCs w:val="22"/>
          <w:shd w:val="clear" w:color="auto" w:fill="FFFFFF"/>
        </w:rPr>
      </w:pPr>
      <w:r w:rsidRPr="00EC14DE">
        <w:rPr>
          <w:sz w:val="22"/>
          <w:szCs w:val="22"/>
          <w:shd w:val="clear" w:color="auto" w:fill="FFFFFF"/>
        </w:rPr>
        <w:t>5. All'articolo 1 della legge 27 dicembre 2019, n. 160, i commi da 240 a 248 sono abrogati.</w:t>
      </w:r>
    </w:p>
    <w:bookmarkEnd w:id="106"/>
    <w:p w14:paraId="7CE997B8" w14:textId="77777777" w:rsidR="008F6C02" w:rsidRPr="00EC14DE" w:rsidRDefault="008F6C02"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(Piano di riorganizzazione e rilancio del Consiglio Nazionale delle Ricerche – C.N.R.) </w:t>
      </w:r>
    </w:p>
    <w:p w14:paraId="286E6641" w14:textId="77777777" w:rsidR="00B3639D" w:rsidRPr="00EC14DE" w:rsidRDefault="003F5E0E" w:rsidP="007C594F">
      <w:pPr>
        <w:pStyle w:val="wordsection1"/>
        <w:widowControl w:val="0"/>
        <w:jc w:val="both"/>
        <w:rPr>
          <w:sz w:val="22"/>
          <w:szCs w:val="22"/>
        </w:rPr>
      </w:pPr>
      <w:r w:rsidRPr="00EC14DE">
        <w:rPr>
          <w:sz w:val="22"/>
          <w:szCs w:val="22"/>
        </w:rPr>
        <w:t xml:space="preserve">1. </w:t>
      </w:r>
      <w:r w:rsidR="00B3639D" w:rsidRPr="00EC14DE">
        <w:rPr>
          <w:sz w:val="22"/>
          <w:szCs w:val="22"/>
        </w:rPr>
        <w:t>Al fine di riorganizzare e rilanciare le attività del Consiglio Nazionale delle Ricerche (CNR), il presidente dell’ente adotta, entro sei mesi dalla data di entrata in vigore della presente disposizione, il “</w:t>
      </w:r>
      <w:bookmarkStart w:id="107" w:name="_Hlk82630528"/>
      <w:r w:rsidR="00B3639D" w:rsidRPr="00EC14DE">
        <w:rPr>
          <w:sz w:val="22"/>
          <w:szCs w:val="22"/>
        </w:rPr>
        <w:t>piano di riorganizzazione e rilancio del Consiglio Nazionale delle Ricerche (CNR)”</w:t>
      </w:r>
      <w:bookmarkEnd w:id="107"/>
      <w:r w:rsidR="00B3639D" w:rsidRPr="00EC14DE">
        <w:rPr>
          <w:sz w:val="22"/>
          <w:szCs w:val="22"/>
        </w:rPr>
        <w:t>. Il piano di riorganizzazione e rilancio assume la funzione di piano triennale di attività ai fini dell’applicazione della normativa vigente.</w:t>
      </w:r>
    </w:p>
    <w:p w14:paraId="2E55A18F" w14:textId="77777777" w:rsidR="00B3639D" w:rsidRPr="00EC14DE" w:rsidRDefault="003F5E0E" w:rsidP="007C594F">
      <w:pPr>
        <w:pStyle w:val="wordsection1"/>
        <w:widowControl w:val="0"/>
        <w:jc w:val="both"/>
        <w:rPr>
          <w:sz w:val="22"/>
          <w:szCs w:val="22"/>
        </w:rPr>
      </w:pPr>
      <w:r w:rsidRPr="00EC14DE">
        <w:rPr>
          <w:sz w:val="22"/>
          <w:szCs w:val="22"/>
        </w:rPr>
        <w:t xml:space="preserve">2. </w:t>
      </w:r>
      <w:r w:rsidR="004B6D7E" w:rsidRPr="00EC14DE">
        <w:rPr>
          <w:sz w:val="22"/>
          <w:szCs w:val="22"/>
        </w:rPr>
        <w:t>Per le finalità di cui al presente articolo il Ministro dell’università e della ricerca istituisce, con proprio decreto, sentito il Ministro dell’economia e delle finanze, un Comitato strategico per il rilancio dell’ente (Supervisory Board), composto da cinque esperti, italiani o stranieri, di comprovata competenza ed esperienza, anche gestionale, acquisite nel settore della ricerca nazionale ed internazionale. Ai componenti del Comitato strategico spetta un compenso pari ad euro 20.000 annui nonché gli eventuali rimborsi spese previsti dalla normativa vigente in materia di trattamento di missione, nel limite massimo</w:t>
      </w:r>
      <w:r w:rsidR="00402186" w:rsidRPr="00EC14DE">
        <w:rPr>
          <w:sz w:val="22"/>
          <w:szCs w:val="22"/>
        </w:rPr>
        <w:t xml:space="preserve"> complessivo</w:t>
      </w:r>
      <w:r w:rsidR="004B6D7E" w:rsidRPr="00EC14DE">
        <w:rPr>
          <w:sz w:val="22"/>
          <w:szCs w:val="22"/>
        </w:rPr>
        <w:t xml:space="preserve"> di euro 100.000 annui. Agli oneri derivanti dall’applicazione del presente comma, pari a 232.700 euro per ciascuno degli anni 2022, 2023 e 2024 si provvede a valere sulle risorse previste dal comma 8</w:t>
      </w:r>
      <w:r w:rsidR="00B3639D" w:rsidRPr="00EC14DE">
        <w:rPr>
          <w:sz w:val="22"/>
          <w:szCs w:val="22"/>
        </w:rPr>
        <w:t>.</w:t>
      </w:r>
    </w:p>
    <w:p w14:paraId="2623AB8A" w14:textId="77777777" w:rsidR="00B3639D" w:rsidRPr="00EC14DE" w:rsidRDefault="003F5E0E" w:rsidP="007C594F">
      <w:pPr>
        <w:pStyle w:val="wordsection1"/>
        <w:widowControl w:val="0"/>
        <w:jc w:val="both"/>
        <w:rPr>
          <w:sz w:val="22"/>
          <w:szCs w:val="22"/>
        </w:rPr>
      </w:pPr>
      <w:r w:rsidRPr="00EC14DE">
        <w:rPr>
          <w:sz w:val="22"/>
          <w:szCs w:val="22"/>
        </w:rPr>
        <w:t xml:space="preserve">3. </w:t>
      </w:r>
      <w:r w:rsidR="00B3639D" w:rsidRPr="00EC14DE">
        <w:rPr>
          <w:sz w:val="22"/>
          <w:szCs w:val="22"/>
        </w:rPr>
        <w:t>Il piano di cui al comma 1 è adottato previo parere favorevole del comitato di cui al comma 2 ed è approvato con decreto del Ministro dell’università e della ricerca di concerto con il Ministro dell’economia e delle finanze, in deroga alle disposizioni, normative e statutarie, che prevedono, in relazione alle specifiche misure previste dal piano, altri pareri, intese o nulla osta, comunque denominati.</w:t>
      </w:r>
    </w:p>
    <w:p w14:paraId="417896A3" w14:textId="77777777" w:rsidR="00B3639D" w:rsidRPr="00EC14DE" w:rsidRDefault="003F5E0E" w:rsidP="007C594F">
      <w:pPr>
        <w:pStyle w:val="wordsection1"/>
        <w:widowControl w:val="0"/>
        <w:jc w:val="both"/>
        <w:rPr>
          <w:sz w:val="22"/>
          <w:szCs w:val="22"/>
        </w:rPr>
      </w:pPr>
      <w:r w:rsidRPr="00EC14DE">
        <w:rPr>
          <w:sz w:val="22"/>
          <w:szCs w:val="22"/>
        </w:rPr>
        <w:t xml:space="preserve">4. </w:t>
      </w:r>
      <w:r w:rsidR="00B3639D" w:rsidRPr="00EC14DE">
        <w:rPr>
          <w:sz w:val="22"/>
          <w:szCs w:val="22"/>
        </w:rPr>
        <w:t xml:space="preserve">Ai fini della predisposizione del piano di cui al comma 1, il presidente del CNR, nonché il comitato di cui al comma 2, </w:t>
      </w:r>
      <w:r w:rsidR="00C85375" w:rsidRPr="00EC14DE">
        <w:rPr>
          <w:sz w:val="22"/>
          <w:szCs w:val="22"/>
        </w:rPr>
        <w:t>può avvalersi di un contingente di esperti di comprovat</w:t>
      </w:r>
      <w:r w:rsidR="00B74027" w:rsidRPr="00EC14DE">
        <w:rPr>
          <w:sz w:val="22"/>
          <w:szCs w:val="22"/>
        </w:rPr>
        <w:t>a qualificazione professionale, i</w:t>
      </w:r>
      <w:r w:rsidR="00C85375" w:rsidRPr="00EC14DE">
        <w:rPr>
          <w:sz w:val="22"/>
          <w:szCs w:val="22"/>
        </w:rPr>
        <w:t xml:space="preserve">ndividuati  ai sensi dell'articolo 7, comma 6, del decreto legislativo 30 marzo 2001, n. 165, fino a un importo massimo di euro </w:t>
      </w:r>
      <w:r w:rsidR="00403B5E" w:rsidRPr="00EC14DE">
        <w:rPr>
          <w:sz w:val="22"/>
          <w:szCs w:val="22"/>
        </w:rPr>
        <w:t xml:space="preserve">50.000 </w:t>
      </w:r>
      <w:r w:rsidR="00C85375" w:rsidRPr="00EC14DE">
        <w:rPr>
          <w:sz w:val="22"/>
          <w:szCs w:val="22"/>
        </w:rPr>
        <w:t>lordi annui per singolo incarico, a valere sulle  risorse di cui al comma 8, lettera b),</w:t>
      </w:r>
      <w:r w:rsidR="00B3639D" w:rsidRPr="00EC14DE">
        <w:rPr>
          <w:sz w:val="22"/>
          <w:szCs w:val="22"/>
        </w:rPr>
        <w:t xml:space="preserve"> al fine, in particolare, di esaminare la consistenza economica e patrimoniale, lo stato dell’organizzazione, la consistenza dell’organico e il piano di fabbisogno, la documentazione relativa alla programmazione e alla rendicontazione scientifica nonché alla programmazione economica e finanziaria.</w:t>
      </w:r>
    </w:p>
    <w:p w14:paraId="4A37CC52" w14:textId="77777777" w:rsidR="00B3639D" w:rsidRPr="00EC14DE" w:rsidRDefault="003F5E0E" w:rsidP="007C594F">
      <w:pPr>
        <w:pStyle w:val="wordsection1"/>
        <w:widowControl w:val="0"/>
        <w:jc w:val="both"/>
        <w:rPr>
          <w:sz w:val="22"/>
          <w:szCs w:val="22"/>
        </w:rPr>
      </w:pPr>
      <w:r w:rsidRPr="00EC14DE">
        <w:rPr>
          <w:sz w:val="22"/>
          <w:szCs w:val="22"/>
        </w:rPr>
        <w:t xml:space="preserve">5. </w:t>
      </w:r>
      <w:r w:rsidR="00B3639D" w:rsidRPr="00EC14DE">
        <w:rPr>
          <w:sz w:val="22"/>
          <w:szCs w:val="22"/>
        </w:rPr>
        <w:t xml:space="preserve">Il piano può contenere proposte di revisione della disciplina, statutaria e normativa, di funzionamento dell’ente, ivi compresa quella riferita alla composizione degli organi, nonché ogni altra misura di riorganizzazione necessaria per il raggiungimento di maggiori livelli di efficienza amministrativa e gestionale. Il piano di riorganizzazione e rilancio reca, altresì, l’indicazione delle risorse economiche per provvedere alla relativa attuazione, distinguendo tra quelle derivanti dalle misure di riorganizzazione e quelle richieste dagli investimenti finalizzati al rilancio dell’ente.  </w:t>
      </w:r>
    </w:p>
    <w:p w14:paraId="59A64F36" w14:textId="77777777" w:rsidR="00B3639D" w:rsidRPr="00EC14DE" w:rsidRDefault="003F5E0E" w:rsidP="007C594F">
      <w:pPr>
        <w:pStyle w:val="wordsection1"/>
        <w:widowControl w:val="0"/>
        <w:jc w:val="both"/>
        <w:rPr>
          <w:sz w:val="22"/>
          <w:szCs w:val="22"/>
        </w:rPr>
      </w:pPr>
      <w:r w:rsidRPr="00EC14DE">
        <w:rPr>
          <w:sz w:val="22"/>
          <w:szCs w:val="22"/>
        </w:rPr>
        <w:t xml:space="preserve">6. </w:t>
      </w:r>
      <w:r w:rsidR="00B3639D" w:rsidRPr="00EC14DE">
        <w:rPr>
          <w:sz w:val="22"/>
          <w:szCs w:val="22"/>
        </w:rPr>
        <w:t>Il piano di riorgan</w:t>
      </w:r>
      <w:r w:rsidR="00C27666" w:rsidRPr="00EC14DE">
        <w:rPr>
          <w:sz w:val="22"/>
          <w:szCs w:val="22"/>
        </w:rPr>
        <w:t>izzazione e rilancio del CNR si</w:t>
      </w:r>
      <w:r w:rsidR="00B74027" w:rsidRPr="00EC14DE">
        <w:rPr>
          <w:sz w:val="22"/>
          <w:szCs w:val="22"/>
        </w:rPr>
        <w:t xml:space="preserve"> conclude </w:t>
      </w:r>
      <w:r w:rsidR="00B3639D" w:rsidRPr="00EC14DE">
        <w:rPr>
          <w:sz w:val="22"/>
          <w:szCs w:val="22"/>
        </w:rPr>
        <w:t>entro tre anni dalla sua approvazione. L’attuazione del piano è sottoposta al monitoraggio, almeno semestrale, da parte del Ministero dell’università e della ricerca, anche avvalendosi del comitato di cui al comma 2.</w:t>
      </w:r>
    </w:p>
    <w:p w14:paraId="5C39BA42" w14:textId="77777777" w:rsidR="00B3639D" w:rsidRPr="00EC14DE" w:rsidRDefault="003F5E0E" w:rsidP="007C594F">
      <w:pPr>
        <w:pStyle w:val="wordsection1"/>
        <w:widowControl w:val="0"/>
        <w:jc w:val="both"/>
        <w:rPr>
          <w:sz w:val="22"/>
          <w:szCs w:val="22"/>
        </w:rPr>
      </w:pPr>
      <w:bookmarkStart w:id="108" w:name="_Hlk82630589"/>
      <w:r w:rsidRPr="00EC14DE">
        <w:rPr>
          <w:sz w:val="22"/>
          <w:szCs w:val="22"/>
        </w:rPr>
        <w:t xml:space="preserve">7. </w:t>
      </w:r>
      <w:r w:rsidR="00B3639D" w:rsidRPr="00EC14DE">
        <w:rPr>
          <w:sz w:val="22"/>
          <w:szCs w:val="22"/>
        </w:rPr>
        <w:t xml:space="preserve">L’approvazione del piano entro il termine di cui al comma 1 e l’esito favorevole del monitoraggio di cui al comma 6 costituiscono presupposto l’accesso al finanziamento di cui al comma 9. </w:t>
      </w:r>
    </w:p>
    <w:p w14:paraId="2DAB688B" w14:textId="77777777" w:rsidR="00B3639D" w:rsidRPr="00EC14DE" w:rsidRDefault="003F5E0E" w:rsidP="007C594F">
      <w:pPr>
        <w:pStyle w:val="wordsection1"/>
        <w:widowControl w:val="0"/>
        <w:jc w:val="both"/>
        <w:rPr>
          <w:sz w:val="22"/>
          <w:szCs w:val="22"/>
        </w:rPr>
      </w:pPr>
      <w:r w:rsidRPr="00EC14DE">
        <w:rPr>
          <w:sz w:val="22"/>
          <w:szCs w:val="22"/>
        </w:rPr>
        <w:t xml:space="preserve">8. </w:t>
      </w:r>
      <w:r w:rsidR="00B3639D" w:rsidRPr="00EC14DE">
        <w:rPr>
          <w:sz w:val="22"/>
          <w:szCs w:val="22"/>
        </w:rPr>
        <w:t>Al Consiglio nazionale delle ricerche è concesso un contributo di 60 milioni di euro a decorrere dall’anno 2022 di cui:</w:t>
      </w:r>
    </w:p>
    <w:p w14:paraId="23D66BEC" w14:textId="77777777" w:rsidR="00B3639D" w:rsidRPr="00EC14DE" w:rsidRDefault="003F5E0E" w:rsidP="007C594F">
      <w:pPr>
        <w:pStyle w:val="wordsection1"/>
        <w:widowControl w:val="0"/>
        <w:ind w:left="284"/>
        <w:contextualSpacing/>
        <w:jc w:val="both"/>
        <w:rPr>
          <w:sz w:val="22"/>
          <w:szCs w:val="22"/>
        </w:rPr>
      </w:pPr>
      <w:r w:rsidRPr="00EC14DE">
        <w:rPr>
          <w:sz w:val="22"/>
          <w:szCs w:val="22"/>
        </w:rPr>
        <w:t xml:space="preserve">a) </w:t>
      </w:r>
      <w:r w:rsidR="00B3639D" w:rsidRPr="00EC14DE">
        <w:rPr>
          <w:sz w:val="22"/>
          <w:szCs w:val="22"/>
        </w:rPr>
        <w:t xml:space="preserve">10 milioni di euro a decorrere dall’anno 2022 sono vincolati </w:t>
      </w:r>
      <w:r w:rsidR="00773FBD" w:rsidRPr="00EC14DE">
        <w:rPr>
          <w:sz w:val="22"/>
          <w:szCs w:val="22"/>
        </w:rPr>
        <w:t xml:space="preserve">alla copertura dei costi connessi alle procedure </w:t>
      </w:r>
      <w:r w:rsidR="00B3639D" w:rsidRPr="00EC14DE">
        <w:rPr>
          <w:sz w:val="22"/>
          <w:szCs w:val="22"/>
        </w:rPr>
        <w:t>di cui all’art</w:t>
      </w:r>
      <w:r w:rsidR="00773FBD" w:rsidRPr="00EC14DE">
        <w:rPr>
          <w:sz w:val="22"/>
          <w:szCs w:val="22"/>
        </w:rPr>
        <w:t>icolo</w:t>
      </w:r>
      <w:r w:rsidR="00B3639D" w:rsidRPr="00EC14DE">
        <w:rPr>
          <w:sz w:val="22"/>
          <w:szCs w:val="22"/>
        </w:rPr>
        <w:t xml:space="preserve"> 20 del decreto legislativo 25 maggio 2017, n. 75;</w:t>
      </w:r>
    </w:p>
    <w:p w14:paraId="73F704E3" w14:textId="77777777" w:rsidR="004B6D7E" w:rsidRPr="00EC14DE" w:rsidRDefault="003F5E0E" w:rsidP="007C594F">
      <w:pPr>
        <w:pStyle w:val="wordsection1"/>
        <w:widowControl w:val="0"/>
        <w:ind w:left="284"/>
        <w:contextualSpacing/>
        <w:jc w:val="both"/>
        <w:rPr>
          <w:sz w:val="22"/>
          <w:szCs w:val="22"/>
        </w:rPr>
      </w:pPr>
      <w:r w:rsidRPr="00EC14DE">
        <w:rPr>
          <w:sz w:val="22"/>
          <w:szCs w:val="22"/>
        </w:rPr>
        <w:t xml:space="preserve">b) </w:t>
      </w:r>
      <w:r w:rsidR="004B6D7E" w:rsidRPr="00EC14DE">
        <w:rPr>
          <w:sz w:val="22"/>
          <w:szCs w:val="22"/>
        </w:rPr>
        <w:t>50</w:t>
      </w:r>
      <w:r w:rsidR="00B3639D" w:rsidRPr="00EC14DE">
        <w:rPr>
          <w:sz w:val="22"/>
          <w:szCs w:val="22"/>
        </w:rPr>
        <w:t xml:space="preserve"> mil</w:t>
      </w:r>
      <w:r w:rsidR="004B6D7E" w:rsidRPr="00EC14DE">
        <w:rPr>
          <w:sz w:val="22"/>
          <w:szCs w:val="22"/>
        </w:rPr>
        <w:t xml:space="preserve">ioni di euro sono utilizzabili </w:t>
      </w:r>
      <w:r w:rsidR="00B3639D" w:rsidRPr="00EC14DE">
        <w:rPr>
          <w:sz w:val="22"/>
          <w:szCs w:val="22"/>
        </w:rPr>
        <w:t>per le finalità del piano di riorganizzazione e rilancio</w:t>
      </w:r>
      <w:r w:rsidR="004B6D7E" w:rsidRPr="00EC14DE">
        <w:rPr>
          <w:sz w:val="22"/>
          <w:szCs w:val="22"/>
        </w:rPr>
        <w:t xml:space="preserve"> e per le spese di funzionamento del Comitato strategico di cui al comma 2 per gli anni 2022,2023 e 2024.</w:t>
      </w:r>
    </w:p>
    <w:p w14:paraId="66837598" w14:textId="77777777" w:rsidR="00B3639D" w:rsidRPr="00EC14DE" w:rsidRDefault="003F5E0E" w:rsidP="007C594F">
      <w:pPr>
        <w:pStyle w:val="wordsection1"/>
        <w:widowControl w:val="0"/>
        <w:contextualSpacing/>
        <w:jc w:val="both"/>
        <w:rPr>
          <w:sz w:val="22"/>
          <w:szCs w:val="22"/>
        </w:rPr>
      </w:pPr>
      <w:r w:rsidRPr="00EC14DE">
        <w:rPr>
          <w:sz w:val="22"/>
          <w:szCs w:val="22"/>
        </w:rPr>
        <w:t xml:space="preserve">9. </w:t>
      </w:r>
      <w:r w:rsidR="00B3639D" w:rsidRPr="00EC14DE">
        <w:rPr>
          <w:sz w:val="22"/>
          <w:szCs w:val="22"/>
        </w:rPr>
        <w:t xml:space="preserve">Fermo restando quanto previsto dal comma 7, a decorrere dall’anno 2023, </w:t>
      </w:r>
      <w:bookmarkEnd w:id="108"/>
      <w:r w:rsidR="00B3639D" w:rsidRPr="00EC14DE">
        <w:rPr>
          <w:sz w:val="22"/>
          <w:szCs w:val="22"/>
        </w:rPr>
        <w:t>al Consiglio nazionale delle ricerche è concesso un ulteriore contributo di 20 milioni di euro annui.</w:t>
      </w:r>
    </w:p>
    <w:p w14:paraId="5C432F3E" w14:textId="77777777" w:rsidR="00E37FFE" w:rsidRPr="00EC14DE" w:rsidRDefault="00E37FFE"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(Cont</w:t>
      </w:r>
      <w:r w:rsidR="004A1C28" w:rsidRPr="00EC14DE">
        <w:t>rasto della “Xylella fastidiosa”</w:t>
      </w:r>
      <w:r w:rsidRPr="00EC14DE">
        <w:t>)</w:t>
      </w:r>
    </w:p>
    <w:p w14:paraId="1878545D" w14:textId="77777777" w:rsidR="00E37FFE" w:rsidRPr="00EC14DE" w:rsidRDefault="00E37FFE" w:rsidP="00E37FFE">
      <w:pPr>
        <w:pStyle w:val="wordsection1"/>
        <w:jc w:val="both"/>
        <w:rPr>
          <w:rFonts w:ascii="Calibri" w:hAnsi="Calibri" w:cs="Calibri"/>
          <w:sz w:val="22"/>
          <w:szCs w:val="22"/>
        </w:rPr>
      </w:pPr>
      <w:r w:rsidRPr="00EC14DE">
        <w:rPr>
          <w:sz w:val="22"/>
          <w:szCs w:val="22"/>
        </w:rPr>
        <w:t xml:space="preserve">1. </w:t>
      </w:r>
      <w:r w:rsidR="00A358E6" w:rsidRPr="00EC14DE">
        <w:rPr>
          <w:sz w:val="22"/>
          <w:szCs w:val="22"/>
        </w:rPr>
        <w:t>Al fine di sostenere le attività di ricerca finalizzate al contenimento della diffusione dell'organismo nocivo “Xylella fastidiosa” condotte dal Consiglio Nazionale delle Ricerche (CNR) è autorizzata la spesa di 5 milioni di euro per ciascuno degli anni 2022, 2023 e 2024.</w:t>
      </w:r>
    </w:p>
    <w:p w14:paraId="5B492A68" w14:textId="77777777" w:rsidR="007A59C0" w:rsidRPr="00EC14DE" w:rsidRDefault="007A59C0"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(Misure connesse all’emergenza epidemiologica nell’ambito scolastico) </w:t>
      </w:r>
    </w:p>
    <w:p w14:paraId="20ECC195" w14:textId="77777777" w:rsidR="00F3683C" w:rsidRPr="00EC14DE" w:rsidRDefault="00030FC5" w:rsidP="007C594F">
      <w:pPr>
        <w:widowControl w:val="0"/>
        <w:rPr>
          <w:rFonts w:cs="Times New Roman"/>
        </w:rPr>
      </w:pPr>
      <w:r w:rsidRPr="00EC14DE">
        <w:rPr>
          <w:rFonts w:cs="Times New Roman"/>
        </w:rPr>
        <w:t xml:space="preserve">1. Al fine di corrispondere alle esigenze delle istituzioni scolastiche connesse all’emergenza epidemiologica, il termine dei contratti sottoscritti ai sensi dell’articolo 58, comma 4-ter, lettera a), del decreto-legge 25 maggio 2021, n. 73, convertito con modificazioni dalla legge 23 luglio 2021, n. 106, può essere prorogato fino al termine delle lezioni dell’anno scolastico 2021/2022 nel limite delle risorse di cui al secondo periodo. Conseguentemente, il fondo di cui all’articolo 235 del decreto-legge 19 maggio 2020, n. 34, convertito, con modificazioni, dalla legge 17 luglio 2020, n. 77, come ripartito dal decreto del Ministro dell’istruzione di concerto con il Ministro dell’economia e delle finanze n. </w:t>
      </w:r>
      <w:r w:rsidR="00687958" w:rsidRPr="00EC14DE">
        <w:rPr>
          <w:rFonts w:cs="Times New Roman"/>
        </w:rPr>
        <w:t>265 del 16 agosto 2021</w:t>
      </w:r>
      <w:r w:rsidRPr="00EC14DE">
        <w:rPr>
          <w:rFonts w:cs="Times New Roman"/>
        </w:rPr>
        <w:t>, è incrementato di 300 milioni di euro per l’anno 2022. Il Ministero dell'istruzione, entro il 31 luglio 2022, provvede al monitoraggio delle spese di cui al primo periodo, comunicando le relative risultanze al Ministero dell'economia e delle finanze - Dipartimento della Ragioneria generale dello Stato e la quota parte delle risorse di cui al secondo periodo che in base al monitoraggio risulti non spesa è versata all’entrata del bilancio dello Stato per essere riassegnata al fondo per l'ammortamento dei titoli di Stato.</w:t>
      </w:r>
      <w:r w:rsidR="0034342A" w:rsidRPr="00EC14DE">
        <w:rPr>
          <w:rFonts w:cs="Times New Roman"/>
        </w:rPr>
        <w:t xml:space="preserve"> </w:t>
      </w:r>
    </w:p>
    <w:p w14:paraId="35CB36E3" w14:textId="77777777" w:rsidR="00DD4398" w:rsidRPr="00EC14DE" w:rsidRDefault="00DD4398" w:rsidP="00C35688">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w:t>
      </w:r>
      <w:r w:rsidR="000100C4" w:rsidRPr="00EC14DE">
        <w:t>Valorizzazione della professionalità dei docenti</w:t>
      </w:r>
      <w:r w:rsidRPr="00EC14DE">
        <w:t xml:space="preserve">) </w:t>
      </w:r>
    </w:p>
    <w:p w14:paraId="5005806D" w14:textId="77777777" w:rsidR="00030FC5" w:rsidRPr="00EC14DE" w:rsidRDefault="00030FC5" w:rsidP="00030FC5">
      <w:pPr>
        <w:pStyle w:val="wordsection1"/>
        <w:ind w:right="57"/>
        <w:jc w:val="both"/>
        <w:rPr>
          <w:sz w:val="22"/>
          <w:szCs w:val="22"/>
          <w:lang w:eastAsia="en-US"/>
        </w:rPr>
      </w:pPr>
      <w:r w:rsidRPr="00EC14DE">
        <w:rPr>
          <w:sz w:val="22"/>
          <w:szCs w:val="22"/>
        </w:rPr>
        <w:t>1. All’articolo 1, comma 592, della legge 27 dicembre 2017, n. 205, sono apportate le seguenti modificazioni:</w:t>
      </w:r>
    </w:p>
    <w:p w14:paraId="7E1CA6E4" w14:textId="77777777" w:rsidR="00030FC5" w:rsidRPr="00EC14DE" w:rsidRDefault="00030FC5" w:rsidP="00030FC5">
      <w:pPr>
        <w:pStyle w:val="wordsection1"/>
        <w:ind w:right="57"/>
        <w:jc w:val="both"/>
        <w:rPr>
          <w:sz w:val="22"/>
          <w:szCs w:val="22"/>
          <w:lang w:eastAsia="en-US"/>
        </w:rPr>
      </w:pPr>
      <w:r w:rsidRPr="00EC14DE">
        <w:rPr>
          <w:sz w:val="22"/>
          <w:szCs w:val="22"/>
        </w:rPr>
        <w:t>a) dopo le parole “istituzioni scolastiche statali” inserire le seguenti: “premiando in modo particolare la dedizione nell’insegnamento, l’impegno nella promozione della comunità scolastica e la cura nell’aggiornamento professionale continuo”;</w:t>
      </w:r>
    </w:p>
    <w:p w14:paraId="2C3B7C1B" w14:textId="77777777" w:rsidR="000100C4" w:rsidRPr="00EC14DE" w:rsidRDefault="00030FC5" w:rsidP="00030FC5">
      <w:pPr>
        <w:widowControl w:val="0"/>
        <w:ind w:right="57"/>
        <w:rPr>
          <w:rFonts w:cs="Times New Roman"/>
        </w:rPr>
      </w:pPr>
      <w:r w:rsidRPr="00EC14DE">
        <w:rPr>
          <w:rFonts w:cs="Times New Roman"/>
        </w:rPr>
        <w:t xml:space="preserve">b) sostituire le parole “e di 30 milioni di euro annui a decorrere dall’anno 2020” con le seguenti “, di 30 milioni di euro per ciascuno degli anni 2020 e 2021, </w:t>
      </w:r>
      <w:r w:rsidRPr="00EC14DE">
        <w:rPr>
          <w:rFonts w:eastAsia="Times New Roman" w:cs="Times New Roman"/>
        </w:rPr>
        <w:t xml:space="preserve">240 </w:t>
      </w:r>
      <w:r w:rsidRPr="00EC14DE">
        <w:rPr>
          <w:rFonts w:cs="Times New Roman"/>
        </w:rPr>
        <w:t>milioni di euro a decorrere dall’anno 2022”.</w:t>
      </w:r>
    </w:p>
    <w:p w14:paraId="0114D448" w14:textId="77777777" w:rsidR="00D720DF" w:rsidRPr="00EC14DE" w:rsidRDefault="00D720DF" w:rsidP="00D720DF">
      <w:pPr>
        <w:pStyle w:val="wordsection1"/>
        <w:ind w:right="57"/>
        <w:jc w:val="both"/>
        <w:rPr>
          <w:sz w:val="22"/>
          <w:szCs w:val="22"/>
          <w:lang w:eastAsia="en-US"/>
        </w:rPr>
      </w:pPr>
      <w:r w:rsidRPr="00EC14DE">
        <w:t>2</w:t>
      </w:r>
      <w:r w:rsidR="000100C4" w:rsidRPr="00EC14DE">
        <w:t xml:space="preserve">. </w:t>
      </w:r>
      <w:r w:rsidRPr="00EC14DE">
        <w:rPr>
          <w:sz w:val="22"/>
          <w:szCs w:val="22"/>
        </w:rPr>
        <w:t>All’articolo 1, comma 593, della legge 27 dicembre 2017, n. 205, sono apportate le seguenti modificazioni:</w:t>
      </w:r>
    </w:p>
    <w:p w14:paraId="172071AD" w14:textId="77777777" w:rsidR="00D720DF" w:rsidRPr="00EC14DE" w:rsidRDefault="00D720DF" w:rsidP="00D720DF">
      <w:pPr>
        <w:pStyle w:val="wordsection1"/>
        <w:jc w:val="both"/>
        <w:rPr>
          <w:sz w:val="22"/>
          <w:szCs w:val="22"/>
        </w:rPr>
      </w:pPr>
      <w:r w:rsidRPr="00EC14DE">
        <w:rPr>
          <w:sz w:val="22"/>
          <w:szCs w:val="22"/>
        </w:rPr>
        <w:t>a) alla lettera a) dopo le parole “in attività di formazione, ricerca e sperimentazione didattica” aggiungere le seguenti: “e della dedizione nell’insegnamento e nella promozione della comunità scolastica”;</w:t>
      </w:r>
    </w:p>
    <w:p w14:paraId="52B5B112" w14:textId="77777777" w:rsidR="000100C4" w:rsidRPr="00EC14DE" w:rsidRDefault="00D720DF" w:rsidP="00D720DF">
      <w:pPr>
        <w:widowControl w:val="0"/>
        <w:ind w:right="57"/>
        <w:rPr>
          <w:rFonts w:cs="Times New Roman"/>
        </w:rPr>
      </w:pPr>
      <w:r w:rsidRPr="00EC14DE">
        <w:rPr>
          <w:rFonts w:cs="Times New Roman"/>
        </w:rPr>
        <w:t>b) dopo la lettera b) aggiungere le seguenti parole: “c) valorizzazione del costante e qualificato aggiornamento professionale.”</w:t>
      </w:r>
    </w:p>
    <w:bookmarkEnd w:id="99"/>
    <w:p w14:paraId="1F56DFDD" w14:textId="77777777" w:rsidR="00120E71" w:rsidRPr="00EC14DE" w:rsidRDefault="00120E71" w:rsidP="00942798">
      <w:pPr>
        <w:pStyle w:val="Titolo3"/>
        <w:keepNext w:val="0"/>
        <w:keepLines w:val="0"/>
        <w:widowControl w:val="0"/>
        <w:tabs>
          <w:tab w:val="left" w:pos="4962"/>
        </w:tabs>
      </w:pPr>
      <w:r w:rsidRPr="00EC14DE">
        <w:t xml:space="preserve">ART. </w:t>
      </w:r>
      <w:r w:rsidRPr="00EC14DE">
        <w:fldChar w:fldCharType="begin"/>
      </w:r>
      <w:r w:rsidRPr="00EC14DE">
        <w:instrText xml:space="preserve"> AUTONUM  \* Arabic </w:instrText>
      </w:r>
      <w:r w:rsidRPr="00EC14DE">
        <w:fldChar w:fldCharType="end"/>
      </w:r>
      <w:r w:rsidRPr="00EC14DE">
        <w:br/>
        <w:t>(</w:t>
      </w:r>
      <w:r w:rsidRPr="00EC14DE">
        <w:rPr>
          <w:rFonts w:cs="Times New Roman"/>
          <w:iCs/>
          <w:szCs w:val="22"/>
        </w:rPr>
        <w:t>Insegnamento dell’educazione motoria nella scuola primaria</w:t>
      </w:r>
      <w:r w:rsidRPr="00EC14DE">
        <w:t>)</w:t>
      </w:r>
    </w:p>
    <w:p w14:paraId="62D6D4AF" w14:textId="77777777" w:rsidR="00D720DF" w:rsidRPr="00EC14DE" w:rsidRDefault="00D720DF" w:rsidP="00D720DF">
      <w:pPr>
        <w:ind w:right="-143"/>
        <w:rPr>
          <w:rFonts w:eastAsia="Times New Roman" w:cs="Times New Roman"/>
          <w:strike/>
        </w:rPr>
      </w:pPr>
      <w:r w:rsidRPr="00EC14DE">
        <w:rPr>
          <w:rFonts w:eastAsia="Times New Roman" w:cs="Times New Roman"/>
        </w:rPr>
        <w:t xml:space="preserve">1. Al fine di conseguire gli obiettivi del Piano nazionale di ripresa e resilienza e di  promuovere nei giovani, fin dalla scuola primaria, l’assunzione di comportamenti e stili di vita funzionali alla crescita armoniosa, alla salute, al benessere psico-fisico e al pieno sviluppo della persona, riconoscendo l’educazione motoria quale espressione di un diritto personale e strumento di apprendimento cognitivo, nelle more di una complessiva revisione dell’insegnamento dell’educazione motoria nella scuola primaria, è introdotto gradualmente e subordinatamente all’adozione del decreto di cui al comma 7, l’insegnamento dell’educazione motoria nella scuola primaria nelle classi quarte e quinte da parte di docenti forniti di idoneo titolo di studio e la iscrizione nella correlata classe di concorso “Scienze motorie e sportive nella scuola primaria”. </w:t>
      </w:r>
    </w:p>
    <w:p w14:paraId="66AA2EA4" w14:textId="77777777" w:rsidR="00D720DF" w:rsidRPr="00EC14DE" w:rsidRDefault="00D720DF" w:rsidP="00D720DF">
      <w:pPr>
        <w:ind w:right="-143"/>
        <w:rPr>
          <w:rFonts w:eastAsia="Times New Roman" w:cs="Times New Roman"/>
        </w:rPr>
      </w:pPr>
      <w:r w:rsidRPr="00EC14DE">
        <w:rPr>
          <w:rFonts w:eastAsia="Times New Roman" w:cs="Times New Roman"/>
        </w:rPr>
        <w:t xml:space="preserve">2. L’introduzione dell’insegnamento dell’educazione motoria è prevista per la classe quinta a partire dall’anno scolastico 2022/2023 e per la classe quarta a partire dall’anno scolastico 2023/2024, nel limite delle risorse finanziarie e strumentali disponibili a legislazione vigente nonché di quelle di personale definite con il decreto di cui al comma 7.  </w:t>
      </w:r>
      <w:bookmarkStart w:id="109" w:name="_30j0zll" w:colFirst="0" w:colLast="0"/>
      <w:bookmarkEnd w:id="109"/>
    </w:p>
    <w:p w14:paraId="29CC2717" w14:textId="77777777" w:rsidR="00D720DF" w:rsidRPr="00EC14DE" w:rsidRDefault="00D720DF" w:rsidP="00D720DF">
      <w:pPr>
        <w:ind w:right="-143"/>
        <w:rPr>
          <w:rFonts w:eastAsia="Times New Roman" w:cs="Times New Roman"/>
        </w:rPr>
      </w:pPr>
      <w:r w:rsidRPr="00EC14DE">
        <w:rPr>
          <w:rFonts w:eastAsia="Times New Roman" w:cs="Times New Roman"/>
        </w:rPr>
        <w:t>3. Si accede all’insegnamento dell’educazione motoria nella scuola primaria a seguito del superamento di specifiche procedure concorsuali abilitanti. Possono partecipare alle procedure concorsuali i soggetti in possesso di laurea magistrale conseguita nella classe LM-67 «Scienze e tecniche delle attività motorie preventive e adattative» o nella classe LM-68 «Scienze e tecniche dello sport» o nella classe di concorso LM-47 «Organizzazione e gestione dei servizi per lo sport e le attività motorie» oppure titoli di studio equiparati alle predette lauree magistrali ai sensi del decreto del Ministro dell’istruzione, dell’università e della ricerca 9 luglio 2009, pubblicato nella Gazzetta Ufficiale 7 ottobre 2009, n. 233, che abbiano, altresì, conseguito 24 CFU/CFA, acquisiti in forma curricolare, aggiuntiva o extra curricolare nelle discipline antropo-psico-pedagogiche e nelle metodologie e tecnologie didattiche.</w:t>
      </w:r>
    </w:p>
    <w:p w14:paraId="18046B35" w14:textId="77777777" w:rsidR="00D720DF" w:rsidRPr="00EC14DE" w:rsidRDefault="00D720DF" w:rsidP="00D720DF">
      <w:pPr>
        <w:ind w:right="-143"/>
        <w:rPr>
          <w:rFonts w:eastAsia="Times New Roman" w:cs="Times New Roman"/>
        </w:rPr>
      </w:pPr>
      <w:r w:rsidRPr="00EC14DE">
        <w:rPr>
          <w:rFonts w:eastAsia="Times New Roman" w:cs="Times New Roman"/>
        </w:rPr>
        <w:t>4. Il docente di educazione motoria nella scuola primaria è equiparato, quanto allo stato giuridico ed economico, ai docenti del medesimo grado di istruzione e non può essere impegnato negli altri insegnamenti della scuola primaria.</w:t>
      </w:r>
    </w:p>
    <w:p w14:paraId="7C919F86" w14:textId="77777777" w:rsidR="00D720DF" w:rsidRPr="00EC14DE" w:rsidRDefault="00D720DF" w:rsidP="00D720DF">
      <w:pPr>
        <w:ind w:right="-143"/>
        <w:rPr>
          <w:rFonts w:eastAsia="Times New Roman" w:cs="Times New Roman"/>
        </w:rPr>
      </w:pPr>
      <w:r w:rsidRPr="00EC14DE">
        <w:rPr>
          <w:rFonts w:eastAsia="Times New Roman" w:cs="Times New Roman"/>
        </w:rPr>
        <w:t>5. Il contingente dei docenti di educazione motoria di cui al comma 1 è determinato in ragione di non più di due ore settimanali di insegnamento aggiuntive</w:t>
      </w:r>
      <w:r w:rsidRPr="00EC14DE">
        <w:rPr>
          <w:rFonts w:eastAsia="Times New Roman" w:cs="Times New Roman"/>
          <w:bCs/>
        </w:rPr>
        <w:t>, per le classi che non adottano il modello del tempo pieno nelle quali sia introdotto l’insegnamento,</w:t>
      </w:r>
      <w:r w:rsidRPr="00EC14DE">
        <w:rPr>
          <w:rFonts w:eastAsia="Times New Roman" w:cs="Times New Roman"/>
        </w:rPr>
        <w:t xml:space="preserve"> rispetto all’orario di cui all’art. 4 del decreto del Presidente della Repubblica 20 marzo 2009, n. 89</w:t>
      </w:r>
      <w:r w:rsidRPr="00EC14DE">
        <w:rPr>
          <w:rFonts w:eastAsia="Times New Roman" w:cs="Times New Roman"/>
          <w:bCs/>
        </w:rPr>
        <w:t>. Le classi che adottano il tempo pieno mantengono l’orario in essere anche quando interessate dal nuovo insegnamento.</w:t>
      </w:r>
      <w:r w:rsidRPr="00EC14DE">
        <w:rPr>
          <w:rFonts w:eastAsia="Times New Roman" w:cs="Times New Roman"/>
        </w:rPr>
        <w:t xml:space="preserve"> </w:t>
      </w:r>
      <w:r w:rsidRPr="00EC14DE">
        <w:rPr>
          <w:rFonts w:eastAsia="Times New Roman" w:cs="Times New Roman"/>
          <w:bCs/>
        </w:rPr>
        <w:t xml:space="preserve">In tale ultimo caso </w:t>
      </w:r>
      <w:r w:rsidRPr="00EC14DE">
        <w:rPr>
          <w:rFonts w:eastAsia="Times New Roman" w:cs="Times New Roman"/>
        </w:rPr>
        <w:t xml:space="preserve">le ore di educazione motoria </w:t>
      </w:r>
      <w:r w:rsidRPr="00EC14DE">
        <w:rPr>
          <w:rFonts w:eastAsia="Times New Roman" w:cs="Times New Roman"/>
          <w:bCs/>
        </w:rPr>
        <w:t>possono essere assicurate in compresenza ferma restando la responsabilità dei docenti coinvolti.</w:t>
      </w:r>
      <w:r w:rsidRPr="00EC14DE">
        <w:rPr>
          <w:rFonts w:eastAsia="Times New Roman" w:cs="Times New Roman"/>
        </w:rPr>
        <w:t xml:space="preserve"> Dall’attuazione del presente comma non devono derivare situazioni di esubero di personale.</w:t>
      </w:r>
    </w:p>
    <w:p w14:paraId="79A1DE9F" w14:textId="77777777" w:rsidR="00D720DF" w:rsidRPr="00EC14DE" w:rsidRDefault="00D720DF" w:rsidP="00D720DF">
      <w:pPr>
        <w:ind w:right="-143"/>
        <w:rPr>
          <w:rFonts w:cs="Times New Roman"/>
        </w:rPr>
      </w:pPr>
      <w:r w:rsidRPr="00EC14DE">
        <w:rPr>
          <w:rFonts w:eastAsia="Times New Roman" w:cs="Times New Roman"/>
        </w:rPr>
        <w:t xml:space="preserve">6. I posti per l’insegnamento dell’educazione motoria nella scuola primaria, individuati dal decreto di cui al comma 7, in fase di prima applicazione sono coperti con concorso per titoli ed esami abilitante, bandito negli anni 2022 e 2023. </w:t>
      </w:r>
      <w:r w:rsidRPr="00EC14DE">
        <w:rPr>
          <w:rFonts w:cs="Times New Roman"/>
        </w:rPr>
        <w:t>Il contenuto del bando, i termini e le modalità di presentazione delle domande, i titoli valutabili, le modalità di svolgimento delle prove, i criteri di valutazione dei titoli e delle prove, nonché la composizione delle commissioni di valutazione e l'idonea misura del contributo a carico dei partecipanti sono disciplinati con decreto del Ministro dell'istruzione da adottare entro sessanta giorni dalla data di entrata in vigore della presente legge. L'entità del contributo di cui al secondo periodo è determinata in misura tale da consentire, unitamente alle risorse a tal fine iscritte nello stato di previsione del Ministero dell’istruzione, la copertura integrale degli oneri per lo svolgimento delle procedure concorsuali. Le relative graduatorie hanno validità annuale ed in ogni caso perdono efficacia con l’approvazione delle graduatorie riferite al successivo concorso.</w:t>
      </w:r>
    </w:p>
    <w:p w14:paraId="51E67F35" w14:textId="77777777" w:rsidR="00D720DF" w:rsidRPr="00EC14DE" w:rsidRDefault="00D720DF" w:rsidP="00D720DF">
      <w:pPr>
        <w:ind w:right="-143"/>
        <w:rPr>
          <w:rFonts w:eastAsia="Times New Roman" w:cs="Times New Roman"/>
          <w:bCs/>
        </w:rPr>
      </w:pPr>
      <w:r w:rsidRPr="00EC14DE">
        <w:rPr>
          <w:rFonts w:eastAsia="Times New Roman" w:cs="Times New Roman"/>
          <w:bCs/>
        </w:rPr>
        <w:t xml:space="preserve">7. Con decreto annuale del </w:t>
      </w:r>
      <w:r w:rsidR="00A63564" w:rsidRPr="00EC14DE">
        <w:rPr>
          <w:rFonts w:eastAsia="Times New Roman" w:cs="Times New Roman"/>
          <w:bCs/>
        </w:rPr>
        <w:t xml:space="preserve">Ministro </w:t>
      </w:r>
      <w:r w:rsidRPr="00EC14DE">
        <w:rPr>
          <w:rFonts w:eastAsia="Times New Roman" w:cs="Times New Roman"/>
          <w:bCs/>
        </w:rPr>
        <w:t xml:space="preserve">dell’istruzione, di concerto con il </w:t>
      </w:r>
      <w:r w:rsidR="00A63564" w:rsidRPr="00EC14DE">
        <w:rPr>
          <w:rFonts w:eastAsia="Times New Roman" w:cs="Times New Roman"/>
          <w:bCs/>
        </w:rPr>
        <w:t xml:space="preserve">Ministro </w:t>
      </w:r>
      <w:r w:rsidRPr="00EC14DE">
        <w:rPr>
          <w:rFonts w:eastAsia="Times New Roman" w:cs="Times New Roman"/>
          <w:bCs/>
        </w:rPr>
        <w:t>dell’economia e delle finanze, da adottare entro il mese di gennaio precedente all’anno scolastico di riferimento, e, in sede di prima attuazione, entro il mese di febbraio 2022:</w:t>
      </w:r>
    </w:p>
    <w:p w14:paraId="12AB016D" w14:textId="77777777" w:rsidR="00D720DF" w:rsidRPr="00EC14DE" w:rsidRDefault="00D720DF" w:rsidP="00D720DF">
      <w:pPr>
        <w:ind w:right="-143"/>
        <w:rPr>
          <w:rFonts w:eastAsia="Times New Roman" w:cs="Times New Roman"/>
          <w:bCs/>
        </w:rPr>
      </w:pPr>
      <w:r w:rsidRPr="00EC14DE">
        <w:rPr>
          <w:rFonts w:eastAsia="Times New Roman" w:cs="Times New Roman"/>
          <w:bCs/>
        </w:rPr>
        <w:t>a) è rilevato il personale cessato o che abbia chiesto di cessare a qualsiasi titolo, nonché quello in servizio a tempo indeterminato, per ciascun ordine e grado di istruzione, distintamente per regione e classe di concorso,  tipologia di insegnamento, classe di laurea, posti comuni, posti di sostegno e posti di potenziamento, sulla base del quale, a invarianza di dotazione organica complessiva a legislazione vigente, è rimodulato il fabbisogno di personale derivante dall’applicazione della normativa vigente, con indicazione di quello da destinare all’insegnamento dell’educazione motoria nella scuola primaria, tenendo conto dell’esigenze di personale connesse all’attuazione a regime del PNRR e di quanto disposto dall’articolo 64 del decreto legge 25 giugno 2008, n. 112, convertito, con modificazioni, dalla legge 6 agosto 2008, n. 133;</w:t>
      </w:r>
    </w:p>
    <w:p w14:paraId="45627F06" w14:textId="77777777" w:rsidR="00D720DF" w:rsidRPr="00EC14DE" w:rsidRDefault="00D720DF" w:rsidP="00D720DF">
      <w:pPr>
        <w:ind w:right="-143"/>
        <w:rPr>
          <w:rFonts w:eastAsia="Times New Roman" w:cs="Times New Roman"/>
          <w:bCs/>
        </w:rPr>
      </w:pPr>
      <w:r w:rsidRPr="00EC14DE">
        <w:rPr>
          <w:rFonts w:eastAsia="Times New Roman" w:cs="Times New Roman"/>
          <w:bCs/>
        </w:rPr>
        <w:t>b) è definito il numero delle classi quarte e quinte della scuola primaria presso le quali è attivato il menzionato insegnamento e il numero dei posti di insegnamento dell’educazione motoria.</w:t>
      </w:r>
    </w:p>
    <w:p w14:paraId="6EAFED82" w14:textId="77777777" w:rsidR="00D720DF" w:rsidRPr="00EC14DE" w:rsidRDefault="00D720DF" w:rsidP="00D720DF">
      <w:pPr>
        <w:ind w:right="-143"/>
        <w:rPr>
          <w:rFonts w:eastAsia="Times New Roman" w:cs="Times New Roman"/>
          <w:bCs/>
        </w:rPr>
      </w:pPr>
      <w:r w:rsidRPr="00EC14DE">
        <w:rPr>
          <w:rFonts w:eastAsia="Times New Roman" w:cs="Times New Roman"/>
          <w:bCs/>
        </w:rPr>
        <w:t>8. I decreti interministeriali relativi alle dotazioni organiche del personale docente evidenziano i posti comuni, di sostegno e di potenziamento per ciascun ordine grado di istruzione distintamente per regione con evidenza dei posti da destinare all’educazione motoria della scuola primaria.</w:t>
      </w:r>
    </w:p>
    <w:p w14:paraId="6E377661" w14:textId="77777777" w:rsidR="00D720DF" w:rsidRPr="00EC14DE" w:rsidRDefault="00D720DF" w:rsidP="00D720DF">
      <w:pPr>
        <w:ind w:right="-143"/>
        <w:rPr>
          <w:rFonts w:eastAsia="Times New Roman" w:cs="Times New Roman"/>
        </w:rPr>
      </w:pPr>
      <w:r w:rsidRPr="00EC14DE">
        <w:rPr>
          <w:rFonts w:eastAsia="Times New Roman" w:cs="Times New Roman"/>
        </w:rPr>
        <w:t xml:space="preserve">9. Nel caso in cui le graduatorie di concorso di cui al comma 6 non siano approvate in tempo utile per l’assunzione in ruolo dei docenti, i contratti </w:t>
      </w:r>
      <w:r w:rsidRPr="00EC14DE">
        <w:rPr>
          <w:rFonts w:eastAsia="Times New Roman" w:cs="Times New Roman"/>
          <w:bCs/>
        </w:rPr>
        <w:t>a tempo determinato necessari</w:t>
      </w:r>
      <w:r w:rsidRPr="00EC14DE">
        <w:rPr>
          <w:rFonts w:eastAsia="Times New Roman" w:cs="Times New Roman"/>
        </w:rPr>
        <w:t xml:space="preserve"> possono essere attribuiti anche ai soggetti collocati nelle graduatorie provinciali per le supplenze di cui all’articolo 4, comma 6-bis, della legge 3 maggio 1999, n. 124 </w:t>
      </w:r>
      <w:r w:rsidRPr="00EC14DE">
        <w:rPr>
          <w:rFonts w:eastAsia="Times New Roman" w:cs="Times New Roman"/>
          <w:bCs/>
        </w:rPr>
        <w:t xml:space="preserve">per </w:t>
      </w:r>
      <w:r w:rsidRPr="00EC14DE">
        <w:rPr>
          <w:rFonts w:eastAsia="Times New Roman" w:cs="Times New Roman"/>
        </w:rPr>
        <w:t>classi di concorso A048 – Scienze motorie e sportive negli istituti di istruzione secondaria di II grado e A049 – Scienze motorie e sportive nella scuola secondaria di I grado. L’attivazione dei predetti contratti a tempo determinato è subordinata all’emanazione del decreto di cui al comma 7.</w:t>
      </w:r>
    </w:p>
    <w:p w14:paraId="60C565A4" w14:textId="77777777" w:rsidR="00EC75F0" w:rsidRPr="00EC14DE" w:rsidRDefault="0054186F" w:rsidP="00D720DF">
      <w:pPr>
        <w:ind w:right="-143"/>
        <w:rPr>
          <w:rFonts w:eastAsia="Times New Roman" w:cs="Times New Roman"/>
        </w:rPr>
      </w:pPr>
      <w:r>
        <w:rPr>
          <w:rFonts w:eastAsia="Times New Roman" w:cs="Times New Roman"/>
        </w:rPr>
        <w:t>10</w:t>
      </w:r>
      <w:r w:rsidR="00D720DF" w:rsidRPr="00EC14DE">
        <w:rPr>
          <w:rFonts w:eastAsia="Times New Roman" w:cs="Times New Roman"/>
        </w:rPr>
        <w:t>. A decorrere dal 2023, il Ministero dell’istruzione, provvede ad effettuare, entro il mese di gennaio di ciascun anno, un monitoraggio dell’attuazione delle disposizioni contenute nel presente articolo, comunicando le relative risultanze al Ministero dell'economia e delle finanze - Dipartimento della Ragioneria generale dello Stato.</w:t>
      </w:r>
      <w:r w:rsidR="00EC75F0" w:rsidRPr="00EC14DE">
        <w:rPr>
          <w:rFonts w:eastAsia="Times New Roman" w:cs="Times New Roman"/>
        </w:rPr>
        <w:t xml:space="preserve"> </w:t>
      </w:r>
    </w:p>
    <w:p w14:paraId="0FD92EE8" w14:textId="77777777" w:rsidR="00B541A6" w:rsidRPr="00EC14DE" w:rsidRDefault="00B541A6" w:rsidP="00B541A6">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(Incremento del FUN per il finanziamento delle retribuzioni di posizione di parte variabile dei dirigenti scolastici)</w:t>
      </w:r>
    </w:p>
    <w:p w14:paraId="19E92418" w14:textId="77777777" w:rsidR="00D720DF" w:rsidRPr="00EC14DE" w:rsidRDefault="00D720DF" w:rsidP="00D720DF">
      <w:r w:rsidRPr="00EC14DE">
        <w:t xml:space="preserve">1. Al fine di adeguare la retribuzione di posizione di parte variabile dei dirigenti scolastici in relazione alla complessità ed alla gravosità delle attività che sono chiamati a svolgere, il Fondo unico nazionale per il finanziamento delle retribuzioni di posizione e di risultato, di cui all’art. 4 del C.C.N.L. – Area V della dirigenza – del 15 luglio 2010, biennio economico 2008-2009, è incrementato di </w:t>
      </w:r>
      <w:r w:rsidRPr="00EC14DE">
        <w:rPr>
          <w:bCs/>
        </w:rPr>
        <w:t>20 milioni di euro a decorrere dall’anno 2022</w:t>
      </w:r>
      <w:r w:rsidRPr="00EC14DE">
        <w:t xml:space="preserve">, al lordo degli oneri a carico dello Stato. I predetti importi sono destinati alla retribuzione di posizione di parte variabile dei dirigenti scolastici. </w:t>
      </w:r>
    </w:p>
    <w:p w14:paraId="201A6DD5" w14:textId="77777777" w:rsidR="00F10763" w:rsidRPr="00EC14DE" w:rsidRDefault="00D720DF" w:rsidP="00D720DF">
      <w:pPr>
        <w:rPr>
          <w:rFonts w:cs="Times New Roman"/>
          <w:bCs/>
        </w:rPr>
      </w:pPr>
      <w:r w:rsidRPr="00EC14DE">
        <w:rPr>
          <w:rFonts w:cs="Times New Roman"/>
          <w:bCs/>
        </w:rPr>
        <w:t>2. Per gli anni scolastici 2019/2020, 2020/2021 e 2021/2022, continuano ad operare le Contrattazioni integrative regionali (CIR) sottoscritte tra gli Uffici scolastici regionali e le Organizzazioni sindacali rappresentative, per la definizione delle retribuzioni di posizione e di risultato dei dirigenti scolastici a livello regionale, sempre sulla base del riparto regionale della risorsa disponibile sul Fondo unico nazionale, di cui all’art. 4 del C.C.N.L. – Area V della dirigenza – del 15 luglio 2010, biennio economico 2008-2009, disposto dal Ministero dell’istruzione in applicazione dell’articolo 25 del C.C.N.L. 15 luglio 2010 dell’Area V della dirigenza pubblica – dirigenti scolastici.</w:t>
      </w:r>
    </w:p>
    <w:p w14:paraId="30F4584D" w14:textId="77777777" w:rsidR="002413EB" w:rsidRPr="00EC14DE" w:rsidRDefault="002413EB" w:rsidP="00C9568D">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w:t>
      </w:r>
      <w:r w:rsidR="00DB0783" w:rsidRPr="00EC14DE">
        <w:t>Interventi in materia di attribuzione alle scuole di dirigenti scolastici e direttori dei servizi generali e amministrativi</w:t>
      </w:r>
      <w:r w:rsidRPr="00EC14DE">
        <w:t>)</w:t>
      </w:r>
      <w:r w:rsidR="00FB1C44" w:rsidRPr="00EC14DE">
        <w:t xml:space="preserve"> </w:t>
      </w:r>
    </w:p>
    <w:p w14:paraId="28EC463C" w14:textId="77777777" w:rsidR="00357DC1" w:rsidRPr="00EC14DE" w:rsidRDefault="00226AFC" w:rsidP="000970C8">
      <w:r w:rsidRPr="00EC14DE">
        <w:t>1</w:t>
      </w:r>
      <w:r w:rsidR="00357DC1" w:rsidRPr="00EC14DE">
        <w:t xml:space="preserve">. </w:t>
      </w:r>
      <w:r w:rsidRPr="00EC14DE">
        <w:rPr>
          <w:rFonts w:cs="Times New Roman"/>
        </w:rPr>
        <w:t>All’articolo 1, comma 978, della legge 30 dicembre 2020, n. 178 le parole “l'anno scolastico 2021/2022” sono sostituite dalle seguenti: “gli anni scolastici 2021/2022 e 2022/2023” e all’articolo 1, comma 979, della medesima legge le parole “27,23 milioni di euro annui per l’anno 2022” sono sostituite dalle seguenti: “40,84 milioni di euro annui per il 2022 e 27,23 milioni di euro annui per il 2023”</w:t>
      </w:r>
      <w:r w:rsidR="00275A09" w:rsidRPr="00EC14DE">
        <w:t>.</w:t>
      </w:r>
    </w:p>
    <w:p w14:paraId="0B4F317C" w14:textId="77777777" w:rsidR="00B541A6" w:rsidRPr="00EC14DE" w:rsidRDefault="00C9568D" w:rsidP="00891710">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w:t>
      </w:r>
      <w:r w:rsidR="00226AFC" w:rsidRPr="00EC14DE">
        <w:t xml:space="preserve">Misura per rafforzare il diritto allo studio </w:t>
      </w:r>
      <w:r w:rsidR="00B757FA" w:rsidRPr="00EC14DE">
        <w:t>in classi numerose</w:t>
      </w:r>
      <w:r w:rsidRPr="00EC14DE">
        <w:t>)</w:t>
      </w:r>
    </w:p>
    <w:p w14:paraId="782A12AC" w14:textId="77777777" w:rsidR="00C9568D" w:rsidRPr="00EC14DE" w:rsidRDefault="00226AFC" w:rsidP="00FB1C44">
      <w:pPr>
        <w:rPr>
          <w:rFonts w:cs="Times New Roman"/>
        </w:rPr>
      </w:pPr>
      <w:r w:rsidRPr="00EC14DE">
        <w:rPr>
          <w:rFonts w:cs="Times New Roman"/>
        </w:rPr>
        <w:t>1. Al fine di favorire l’efficace fruizione del diritto all’istruzione anche da parte dei soggetti svantaggiati collocati in classi con numerosità prossima o superiore ai limiti previsti a normativa vigente, il Ministero dell’istruzione è autorizzato, nei limiti di cui alla lettera d) del comma 2, a istituire classi in deroga alle dimensioni previste dal decreto del Presidente della Repubblica 20 marzo 2009, n. 81. La predetta deroga opera nelle scuole caratterizzate da valori degli indici di status sociale, economico e culturale e di dispersione scolastica individuati con il decreto di cui al comma 2 e nel limite delle risorse strumentali e finanziarie e della dotazione organica di personale scolastico disponibili a legislazione vigente.</w:t>
      </w:r>
    </w:p>
    <w:p w14:paraId="011B4C45" w14:textId="77777777" w:rsidR="00226AFC" w:rsidRPr="00EC14DE" w:rsidRDefault="00226AFC" w:rsidP="00226AFC">
      <w:pPr>
        <w:rPr>
          <w:rFonts w:cs="Times New Roman"/>
          <w:bCs/>
        </w:rPr>
      </w:pPr>
      <w:r w:rsidRPr="00EC14DE">
        <w:rPr>
          <w:rFonts w:cs="Times New Roman"/>
          <w:bCs/>
        </w:rPr>
        <w:t xml:space="preserve">2. Con uno o più decreti del </w:t>
      </w:r>
      <w:r w:rsidR="00A63564" w:rsidRPr="00EC14DE">
        <w:rPr>
          <w:rFonts w:cs="Times New Roman"/>
          <w:bCs/>
        </w:rPr>
        <w:t xml:space="preserve">Ministro </w:t>
      </w:r>
      <w:r w:rsidRPr="00EC14DE">
        <w:rPr>
          <w:rFonts w:cs="Times New Roman"/>
          <w:bCs/>
        </w:rPr>
        <w:t xml:space="preserve">dell’istruzione, di concerto con il </w:t>
      </w:r>
      <w:r w:rsidR="00A63564" w:rsidRPr="00EC14DE">
        <w:rPr>
          <w:rFonts w:cs="Times New Roman"/>
          <w:bCs/>
        </w:rPr>
        <w:t xml:space="preserve">Ministro </w:t>
      </w:r>
      <w:r w:rsidRPr="00EC14DE">
        <w:rPr>
          <w:rFonts w:cs="Times New Roman"/>
          <w:bCs/>
        </w:rPr>
        <w:t>dell’economia e delle finanze, da adottare entro il mese di febbraio precedente all’anno scolastico di riferimento e, in sede di prima attuazione, entro il mese di marzo:</w:t>
      </w:r>
    </w:p>
    <w:p w14:paraId="0F49A93E" w14:textId="77777777" w:rsidR="00226AFC" w:rsidRPr="00EC14DE" w:rsidRDefault="00226AFC" w:rsidP="00226AFC">
      <w:pPr>
        <w:rPr>
          <w:rFonts w:cs="Times New Roman"/>
          <w:bCs/>
        </w:rPr>
      </w:pPr>
      <w:r w:rsidRPr="00EC14DE">
        <w:rPr>
          <w:rFonts w:cs="Times New Roman"/>
          <w:bCs/>
        </w:rPr>
        <w:t xml:space="preserve">a) </w:t>
      </w:r>
      <w:r w:rsidR="0011299F" w:rsidRPr="00EC14DE">
        <w:rPr>
          <w:rFonts w:cs="Times New Roman"/>
          <w:bCs/>
        </w:rPr>
        <w:t>son</w:t>
      </w:r>
      <w:r w:rsidRPr="00EC14DE">
        <w:rPr>
          <w:rFonts w:cs="Times New Roman"/>
          <w:bCs/>
        </w:rPr>
        <w:t>o individuati gli indicatori di status sociale, economico, culturale e di dispersione scolastica da utilizzare per individuare le scuole beneficiarie della deroga di cui al comma 1;</w:t>
      </w:r>
    </w:p>
    <w:p w14:paraId="17EE6F84" w14:textId="77777777" w:rsidR="00226AFC" w:rsidRPr="00EC14DE" w:rsidRDefault="00226AFC" w:rsidP="00226AFC">
      <w:pPr>
        <w:rPr>
          <w:rFonts w:cs="Times New Roman"/>
          <w:bCs/>
        </w:rPr>
      </w:pPr>
      <w:r w:rsidRPr="00EC14DE">
        <w:rPr>
          <w:rFonts w:cs="Times New Roman"/>
          <w:bCs/>
        </w:rPr>
        <w:t>b) sono definite le soglie degli indicatori di cui alla lettera a) al di sotto o al di sopra delle quali opera la deroga di cui al comma 1 per i gradi della scuola primaria e della secondaria di primo e di secondo grado;</w:t>
      </w:r>
    </w:p>
    <w:p w14:paraId="3138DE94" w14:textId="77777777" w:rsidR="00226AFC" w:rsidRPr="00EC14DE" w:rsidRDefault="00226AFC" w:rsidP="00226AFC">
      <w:pPr>
        <w:rPr>
          <w:rFonts w:cs="Times New Roman"/>
          <w:bCs/>
        </w:rPr>
      </w:pPr>
      <w:r w:rsidRPr="00EC14DE">
        <w:rPr>
          <w:rFonts w:cs="Times New Roman"/>
          <w:bCs/>
        </w:rPr>
        <w:t>c) sono definiti i parametri da utilizzare per la costituzione delle classi, escluse le pluriclassi, nelle scuole caratterizzate da valori degli indicatori inferiori o superiori alle menzionate soglie, in luogo di quelli definiti dal decreto del Presidente della Repubblica 20 marzo 2009, n. 81;</w:t>
      </w:r>
    </w:p>
    <w:p w14:paraId="6DBF97C3" w14:textId="77777777" w:rsidR="00226AFC" w:rsidRPr="00EC14DE" w:rsidRDefault="00226AFC" w:rsidP="00226AFC">
      <w:pPr>
        <w:rPr>
          <w:rFonts w:cs="Times New Roman"/>
          <w:bCs/>
        </w:rPr>
      </w:pPr>
      <w:r w:rsidRPr="00EC14DE">
        <w:rPr>
          <w:rFonts w:cs="Times New Roman"/>
          <w:bCs/>
        </w:rPr>
        <w:t xml:space="preserve">d) è individuata, nell’ambito del fabbisogno di personale come rimodulato ai sensi del comma 7 </w:t>
      </w:r>
      <w:r w:rsidRPr="00EC14DE">
        <w:rPr>
          <w:rFonts w:cs="Times New Roman"/>
          <w:b/>
          <w:bCs/>
        </w:rPr>
        <w:t xml:space="preserve">dell’articolo </w:t>
      </w:r>
      <w:r w:rsidR="004E6620" w:rsidRPr="00EC14DE">
        <w:rPr>
          <w:rFonts w:cs="Times New Roman"/>
          <w:b/>
          <w:bCs/>
        </w:rPr>
        <w:t>1</w:t>
      </w:r>
      <w:r w:rsidR="0011299F" w:rsidRPr="00EC14DE">
        <w:rPr>
          <w:rFonts w:cs="Times New Roman"/>
          <w:b/>
          <w:bCs/>
        </w:rPr>
        <w:t>0</w:t>
      </w:r>
      <w:r w:rsidR="004E6620" w:rsidRPr="00EC14DE">
        <w:rPr>
          <w:rFonts w:cs="Times New Roman"/>
          <w:b/>
          <w:bCs/>
        </w:rPr>
        <w:t>9</w:t>
      </w:r>
      <w:r w:rsidR="00EB037D" w:rsidRPr="00EC14DE">
        <w:rPr>
          <w:rFonts w:cs="Times New Roman"/>
          <w:bCs/>
        </w:rPr>
        <w:t xml:space="preserve">, </w:t>
      </w:r>
      <w:r w:rsidRPr="00EC14DE">
        <w:rPr>
          <w:rFonts w:cs="Times New Roman"/>
          <w:bCs/>
        </w:rPr>
        <w:t xml:space="preserve">la quota massima dell’organico del personale docente da destinare alle classi costituite in deroga e conseguentemente il numero delle predette classi.  </w:t>
      </w:r>
    </w:p>
    <w:p w14:paraId="6A2DFAAD" w14:textId="77777777" w:rsidR="00226AFC" w:rsidRPr="00EC14DE" w:rsidRDefault="00226AFC" w:rsidP="00226AFC">
      <w:pPr>
        <w:rPr>
          <w:rFonts w:cs="Times New Roman"/>
          <w:bCs/>
        </w:rPr>
      </w:pPr>
      <w:r w:rsidRPr="00EC14DE">
        <w:rPr>
          <w:rFonts w:cs="Times New Roman"/>
          <w:bCs/>
        </w:rPr>
        <w:t>3. L’attuazione del decreto di cui al comma 2 è affidata agli Uffici scolastici regionali.</w:t>
      </w:r>
    </w:p>
    <w:p w14:paraId="00F6B790" w14:textId="77777777" w:rsidR="00EB037D" w:rsidRPr="00EC14DE" w:rsidRDefault="00226AFC" w:rsidP="00EB037D">
      <w:pPr>
        <w:rPr>
          <w:rFonts w:cs="Times New Roman"/>
          <w:bCs/>
        </w:rPr>
      </w:pPr>
      <w:r w:rsidRPr="00EC14DE">
        <w:rPr>
          <w:rFonts w:cs="Times New Roman"/>
          <w:bCs/>
        </w:rPr>
        <w:t>4. Il Ministero dell’istruzione effettua, entro il termine dell’anno scolastico 2024/2025, una valutazione dell’impatto delle presenti disposizioni sugli apprendimenti e sulla dispersione scolastica.</w:t>
      </w:r>
    </w:p>
    <w:p w14:paraId="13ECB455" w14:textId="77777777" w:rsidR="00EB037D" w:rsidRPr="00EC14DE" w:rsidRDefault="00EB037D">
      <w:pPr>
        <w:spacing w:after="160" w:line="259" w:lineRule="auto"/>
        <w:jc w:val="left"/>
        <w:rPr>
          <w:rFonts w:eastAsiaTheme="majorEastAsia" w:cstheme="majorBidi"/>
          <w:b/>
          <w:sz w:val="24"/>
          <w:szCs w:val="32"/>
        </w:rPr>
      </w:pPr>
      <w:r w:rsidRPr="00EC14DE">
        <w:br w:type="page"/>
      </w:r>
    </w:p>
    <w:p w14:paraId="7ACECA03" w14:textId="77777777" w:rsidR="007C25B4" w:rsidRPr="00EC14DE" w:rsidRDefault="00372CC0" w:rsidP="007C594F">
      <w:pPr>
        <w:pStyle w:val="Titolo1"/>
        <w:keepNext w:val="0"/>
        <w:keepLines w:val="0"/>
        <w:widowControl w:val="0"/>
      </w:pPr>
      <w:r w:rsidRPr="00EC14DE">
        <w:t xml:space="preserve">Titolo </w:t>
      </w:r>
      <w:r w:rsidR="00C91704" w:rsidRPr="00EC14DE">
        <w:t>VIII</w:t>
      </w:r>
      <w:r w:rsidR="00B948A9" w:rsidRPr="00EC14DE">
        <w:br/>
        <w:t xml:space="preserve">Cultura, </w:t>
      </w:r>
      <w:r w:rsidR="0009432F" w:rsidRPr="00EC14DE">
        <w:t xml:space="preserve">turismo, </w:t>
      </w:r>
      <w:r w:rsidR="00B948A9" w:rsidRPr="00EC14DE">
        <w:t>informazione e innovazione</w:t>
      </w:r>
    </w:p>
    <w:p w14:paraId="6A28D614" w14:textId="77777777" w:rsidR="00E23D00" w:rsidRPr="00EC14DE" w:rsidRDefault="00E23D00"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C94F81" w:rsidRPr="00EC14DE">
        <w:t>Misure per il cinema</w:t>
      </w:r>
      <w:r w:rsidRPr="00EC14DE">
        <w:t xml:space="preserve"> e</w:t>
      </w:r>
      <w:r w:rsidR="00C94F81" w:rsidRPr="00EC14DE">
        <w:t xml:space="preserve"> per la </w:t>
      </w:r>
      <w:r w:rsidRPr="00EC14DE">
        <w:t xml:space="preserve">cultura) </w:t>
      </w:r>
    </w:p>
    <w:p w14:paraId="3BA99E99" w14:textId="77777777" w:rsidR="00E23D00" w:rsidRPr="00EC14DE" w:rsidRDefault="00E23D00" w:rsidP="007C594F">
      <w:pPr>
        <w:widowControl w:val="0"/>
        <w:rPr>
          <w:rFonts w:cs="Times New Roman"/>
          <w:szCs w:val="24"/>
        </w:rPr>
      </w:pPr>
      <w:r w:rsidRPr="00EC14DE">
        <w:rPr>
          <w:rFonts w:cs="Times New Roman"/>
          <w:szCs w:val="24"/>
        </w:rPr>
        <w:t>1. All’articolo 13, comma 2, secondo periodo, della legge 14 novembre 2016, n. 220, le parole: “640 milioni di euro annui”, sono sostituite dalle seguenti: “750 milioni di euro annui”.</w:t>
      </w:r>
    </w:p>
    <w:p w14:paraId="75362B8C" w14:textId="77777777" w:rsidR="00FA5475" w:rsidRPr="00EC14DE" w:rsidRDefault="00FA5475" w:rsidP="007C594F">
      <w:pPr>
        <w:widowControl w:val="0"/>
        <w:rPr>
          <w:rFonts w:cs="Times New Roman"/>
        </w:rPr>
      </w:pPr>
      <w:r w:rsidRPr="00EC14DE">
        <w:rPr>
          <w:rFonts w:cs="Times New Roman"/>
        </w:rPr>
        <w:t>2. Il Fondo per la cultura di cui all’articolo 184 del decreto-legge 19 maggio 2020, n. 34, convertito, con modificazioni, dalla legge 17 luglio 2020, n. 77, è rifinanziato in misura pari a 20 milioni di euro per ciascuno degli anni 2022 e 2023.</w:t>
      </w:r>
    </w:p>
    <w:p w14:paraId="3A317D24" w14:textId="77777777" w:rsidR="00107211" w:rsidRPr="00EC14DE" w:rsidRDefault="00107211" w:rsidP="007C594F">
      <w:pPr>
        <w:widowControl w:val="0"/>
        <w:rPr>
          <w:rFonts w:cs="Times New Roman"/>
        </w:rPr>
      </w:pPr>
      <w:r w:rsidRPr="00EC14DE">
        <w:rPr>
          <w:rFonts w:cs="Times New Roman"/>
        </w:rPr>
        <w:t>3. Al fine di promuovere la lettura e sostenere la filiera dell’editoria libraria, è autorizzata la spesa di 30 milioni di euro per ciascuno degli anni 2022 e 2023. Le risorse di cui al presente comma sono assegnate alle biblioteche aperte al pubblico dello Stato, degli enti territoriali e dei soggetti beneficiari ai sensi della legge 17 ottobre 1996, n. 534, e della legge 28 dicembre 1995, n. 549, per l’acquisto di libri, secondo le modalità stabilite con decreto del Ministro della cultura da adottare entro novanta giorni dalla data di entrata in vigore della presente legge.</w:t>
      </w:r>
    </w:p>
    <w:p w14:paraId="179A9B7B" w14:textId="77777777" w:rsidR="00271568" w:rsidRPr="00EC14DE" w:rsidRDefault="00271568" w:rsidP="00271568">
      <w:pPr>
        <w:pStyle w:val="Titolo3"/>
        <w:rPr>
          <w:szCs w:val="22"/>
        </w:rPr>
      </w:pPr>
      <w:r w:rsidRPr="00EC14DE">
        <w:rPr>
          <w:szCs w:val="22"/>
        </w:rPr>
        <w:t xml:space="preserve">ART. </w:t>
      </w:r>
      <w:r w:rsidRPr="00EC14DE">
        <w:rPr>
          <w:szCs w:val="22"/>
        </w:rPr>
        <w:fldChar w:fldCharType="begin"/>
      </w:r>
      <w:r w:rsidRPr="00EC14DE">
        <w:rPr>
          <w:szCs w:val="22"/>
        </w:rPr>
        <w:instrText xml:space="preserve"> AUTONUM  \* Arabic </w:instrText>
      </w:r>
      <w:r w:rsidRPr="00EC14DE">
        <w:rPr>
          <w:szCs w:val="22"/>
        </w:rPr>
        <w:fldChar w:fldCharType="end"/>
      </w:r>
      <w:r w:rsidRPr="00EC14DE">
        <w:rPr>
          <w:szCs w:val="22"/>
        </w:rPr>
        <w:br/>
        <w:t>(Tax credit librerie)</w:t>
      </w:r>
    </w:p>
    <w:p w14:paraId="214B8983" w14:textId="77777777" w:rsidR="00271568" w:rsidRPr="00EC14DE" w:rsidRDefault="00271568" w:rsidP="00271568">
      <w:pPr>
        <w:pStyle w:val="wordsection1"/>
        <w:autoSpaceDE w:val="0"/>
        <w:autoSpaceDN w:val="0"/>
        <w:jc w:val="both"/>
        <w:rPr>
          <w:sz w:val="22"/>
          <w:szCs w:val="22"/>
        </w:rPr>
      </w:pPr>
      <w:r w:rsidRPr="00EC14DE">
        <w:rPr>
          <w:sz w:val="22"/>
          <w:szCs w:val="22"/>
        </w:rPr>
        <w:t>1. All’articolo 1</w:t>
      </w:r>
      <w:r w:rsidR="00740C3F" w:rsidRPr="00EC14DE">
        <w:rPr>
          <w:sz w:val="22"/>
          <w:szCs w:val="22"/>
        </w:rPr>
        <w:t>,</w:t>
      </w:r>
      <w:r w:rsidRPr="00EC14DE">
        <w:rPr>
          <w:sz w:val="22"/>
          <w:szCs w:val="22"/>
        </w:rPr>
        <w:t xml:space="preserve"> </w:t>
      </w:r>
      <w:r w:rsidR="00740C3F" w:rsidRPr="00EC14DE">
        <w:rPr>
          <w:sz w:val="22"/>
          <w:szCs w:val="22"/>
        </w:rPr>
        <w:t xml:space="preserve">comma 319, </w:t>
      </w:r>
      <w:r w:rsidRPr="00EC14DE">
        <w:rPr>
          <w:sz w:val="22"/>
          <w:szCs w:val="22"/>
        </w:rPr>
        <w:t xml:space="preserve">della legge 27 dicembre 2017, n. 205, le parole: “e di 5 milioni di euro annui a decorrere dall’anno 2019”, sono sostituite dalle seguenti: “, di 5 milioni di euro annui per gli anni 2019, 2020 e 2021 e di </w:t>
      </w:r>
      <w:r w:rsidR="00740C3F" w:rsidRPr="00EC14DE">
        <w:rPr>
          <w:sz w:val="22"/>
          <w:szCs w:val="22"/>
        </w:rPr>
        <w:t xml:space="preserve">15 </w:t>
      </w:r>
      <w:r w:rsidRPr="00EC14DE">
        <w:rPr>
          <w:sz w:val="22"/>
          <w:szCs w:val="22"/>
        </w:rPr>
        <w:t>milioni di euro annui per gli anni 2022 e 2023”;</w:t>
      </w:r>
    </w:p>
    <w:p w14:paraId="69E73989" w14:textId="77777777" w:rsidR="00E23D00" w:rsidRPr="00EC14DE" w:rsidRDefault="00E23D00"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(Fondo per il sostegno economico temporaneo dei lavoratori dello spettacolo - SET)</w:t>
      </w:r>
    </w:p>
    <w:p w14:paraId="66971987" w14:textId="77777777" w:rsidR="00E23D00" w:rsidRPr="00EC14DE" w:rsidRDefault="00E23D00" w:rsidP="007C594F">
      <w:pPr>
        <w:widowControl w:val="0"/>
      </w:pPr>
      <w:r w:rsidRPr="00EC14DE">
        <w:t xml:space="preserve">1. Al fine di introdurre nell’ordinamento un sostegno economico temporaneo in favore dei lavoratori di cui all’articolo 2, comma 1, lettera a), del decreto legislativo 30 aprile 1997, n.182, tenuto conto del carattere strutturalmente discontinuo delle prestazioni lavorative, nello stato di previsione del Ministero </w:t>
      </w:r>
      <w:r w:rsidR="007679D0" w:rsidRPr="00EC14DE">
        <w:t xml:space="preserve">della cultura </w:t>
      </w:r>
      <w:r w:rsidRPr="00EC14DE">
        <w:t xml:space="preserve">è istituito un fondo, denominato “Fondo per il sostegno economico temporaneo - SET”, con una dotazione </w:t>
      </w:r>
      <w:r w:rsidR="00DF472F" w:rsidRPr="00EC14DE">
        <w:t>di 20 milioni di euro per il 2022 e 40 milioni di euro a decorrere dal 2023</w:t>
      </w:r>
      <w:r w:rsidR="00D92A0C" w:rsidRPr="00EC14DE">
        <w:t xml:space="preserve">. </w:t>
      </w:r>
      <w:r w:rsidRPr="00EC14DE">
        <w:t>Con apposito provvedimento normativo, nei limiti delle risorse di cui al primo periodo, che costituiscono il relativo limite di spesa, si provvede a dare attuazione all’intervento previsto.</w:t>
      </w:r>
    </w:p>
    <w:p w14:paraId="4DBB4B4D" w14:textId="77777777" w:rsidR="008079D5" w:rsidRPr="00EC14DE" w:rsidRDefault="008079D5"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(Valorizzazione dei piccoli borghi e delle aree interne)</w:t>
      </w:r>
      <w:r w:rsidR="00377C66" w:rsidRPr="00EC14DE">
        <w:t xml:space="preserve"> </w:t>
      </w:r>
    </w:p>
    <w:p w14:paraId="25449B19" w14:textId="77777777" w:rsidR="008079D5" w:rsidRPr="00EC14DE" w:rsidRDefault="008079D5" w:rsidP="007C594F">
      <w:pPr>
        <w:widowControl w:val="0"/>
        <w:rPr>
          <w:rFonts w:cs="Times New Roman"/>
        </w:rPr>
      </w:pPr>
      <w:r w:rsidRPr="00EC14DE">
        <w:rPr>
          <w:rFonts w:cs="Times New Roman"/>
        </w:rPr>
        <w:t>1. Al fine di favorire lo sviluppo turistico e di contrastare la desertificazione commerciale e l’abbandono dei territori e in via sperimentale, gli esercenti l’attività di commercio al dettaglio e gli artigiani che iniziano, proseguono o trasferiscono la propria attività in un comune con popolazione fino a 500 abitanti delle aree interne, come individuate dagli strumenti di programmazione degli interventi nei relativi territori, possono beneficiare, per gli anni 2022 e 2023, in relazione allo svolgimento dell’attività nei Comuni di cui al presente comma, dell’esenzione dall’imposta municipale propria per gli immobili siti nei predetti Comuni, posseduti e utilizzati dai soggetti di cui al presente articolo per l'esercizio dell'attività economica.</w:t>
      </w:r>
    </w:p>
    <w:p w14:paraId="53FEC48E" w14:textId="77777777" w:rsidR="008079D5" w:rsidRPr="00EC14DE" w:rsidRDefault="008079D5" w:rsidP="007C594F">
      <w:pPr>
        <w:widowControl w:val="0"/>
        <w:rPr>
          <w:rFonts w:cs="Times New Roman"/>
        </w:rPr>
      </w:pPr>
      <w:r w:rsidRPr="00EC14DE">
        <w:rPr>
          <w:rFonts w:cs="Times New Roman"/>
        </w:rPr>
        <w:t>2. Per le finalità di cui al comma 1, lo Stato, le Regioni, le Province autonome e gli Enti locali possono concedere in comodato beni immobili di loro proprietà, non utilizzati per fini istituzionali, agli esercenti l’attività di commercio al dettaglio e agli artigiani di cui al medesimo comma. Il comodato ha una durata massima di dieci anni, nel corso dei quali il comodatario ha l’onere di effettuare sull'immobile, a proprie cura e spese, gli interventi di manutenzione e gli altri interventi necessari a mantenere la funzionalità dell'immobile.</w:t>
      </w:r>
    </w:p>
    <w:p w14:paraId="6FC75772" w14:textId="77777777" w:rsidR="008079D5" w:rsidRPr="00EC14DE" w:rsidRDefault="008079D5" w:rsidP="007C594F">
      <w:pPr>
        <w:widowControl w:val="0"/>
        <w:rPr>
          <w:rFonts w:cs="Times New Roman"/>
        </w:rPr>
      </w:pPr>
      <w:r w:rsidRPr="00EC14DE">
        <w:rPr>
          <w:rFonts w:cs="Times New Roman"/>
        </w:rPr>
        <w:t>3. Le agevolazioni di cui al presente articolo si applicano ai sensi e nei limiti del regolamento (UE) n. 1407/2013 della Commissione, del 18 dicembre 2013, relativo all'applicazione degli articoli 107 e 108 del Trattato sul funzionamento dell’Unione europea agli aiuti «</w:t>
      </w:r>
      <w:r w:rsidRPr="00EC14DE">
        <w:rPr>
          <w:rFonts w:cs="Times New Roman"/>
          <w:i/>
        </w:rPr>
        <w:t>de minimis</w:t>
      </w:r>
      <w:r w:rsidRPr="00EC14DE">
        <w:rPr>
          <w:rFonts w:cs="Times New Roman"/>
        </w:rPr>
        <w:t>».</w:t>
      </w:r>
    </w:p>
    <w:p w14:paraId="4D72A4C7" w14:textId="77777777" w:rsidR="008079D5" w:rsidRPr="00EC14DE" w:rsidRDefault="008079D5" w:rsidP="007C594F">
      <w:pPr>
        <w:widowControl w:val="0"/>
        <w:rPr>
          <w:rFonts w:cs="Times New Roman"/>
          <w:b/>
        </w:rPr>
      </w:pPr>
      <w:r w:rsidRPr="00EC14DE">
        <w:rPr>
          <w:rFonts w:cs="Times New Roman"/>
        </w:rPr>
        <w:t xml:space="preserve">4. Le agevolazioni di cui al comma 1 sono fruite dalle imprese beneficiarie nel limite complessivo di 10 milioni di euro per ciascuno gli anni 2022 e 2023. Con decreto del Ministro della Cultura, di concerto con il Ministro dello sviluppo economico, con il Ministro dell’economia e delle finanze e con il Ministro dell’Interno, sono stabiliti i criteri e le modalità di applicazione e di fruizione delle agevolazioni di cui al comma 1, </w:t>
      </w:r>
      <w:r w:rsidR="0037666A" w:rsidRPr="00EC14DE">
        <w:rPr>
          <w:rFonts w:cs="Times New Roman"/>
        </w:rPr>
        <w:t>anche attraverso la stipula di apposita convenzione con l’Agenzia delle entrate nel rispetto del limite di spesa di cui al primo periodo</w:t>
      </w:r>
      <w:r w:rsidRPr="00EC14DE">
        <w:rPr>
          <w:rFonts w:cs="Times New Roman"/>
          <w:b/>
        </w:rPr>
        <w:t>.</w:t>
      </w:r>
    </w:p>
    <w:p w14:paraId="42284394" w14:textId="77777777" w:rsidR="00036A72" w:rsidRPr="00EC14DE" w:rsidRDefault="00036A72" w:rsidP="007C594F">
      <w:pPr>
        <w:pStyle w:val="Titolo3"/>
        <w:keepNext w:val="0"/>
        <w:keepLines w:val="0"/>
        <w:widowControl w:val="0"/>
        <w:rPr>
          <w:rFonts w:cs="Times New Roman"/>
        </w:rPr>
      </w:pPr>
      <w:r w:rsidRPr="00EC14DE">
        <w:t xml:space="preserve">ART. </w:t>
      </w:r>
      <w:r w:rsidRPr="00EC14DE">
        <w:fldChar w:fldCharType="begin"/>
      </w:r>
      <w:r w:rsidRPr="00EC14DE">
        <w:instrText xml:space="preserve"> AUTONUM  \* Arabic </w:instrText>
      </w:r>
      <w:r w:rsidRPr="00EC14DE">
        <w:fldChar w:fldCharType="end"/>
      </w:r>
      <w:r w:rsidRPr="00EC14DE">
        <w:br/>
        <w:t>(App18)</w:t>
      </w:r>
    </w:p>
    <w:p w14:paraId="1DB56414" w14:textId="77777777" w:rsidR="00724F17" w:rsidRPr="00EC14DE" w:rsidRDefault="00724F17" w:rsidP="00724F17">
      <w:pPr>
        <w:widowControl w:val="0"/>
        <w:rPr>
          <w:rFonts w:cs="Times New Roman"/>
          <w:bCs/>
          <w:lang w:eastAsia="it-IT"/>
        </w:rPr>
      </w:pPr>
      <w:r w:rsidRPr="00EC14DE">
        <w:rPr>
          <w:rFonts w:cs="Times New Roman"/>
        </w:rPr>
        <w:t xml:space="preserve">1. </w:t>
      </w:r>
      <w:r w:rsidRPr="00EC14DE">
        <w:rPr>
          <w:rFonts w:cs="Times New Roman"/>
          <w:bCs/>
          <w:lang w:eastAsia="it-IT"/>
        </w:rPr>
        <w:t>Al fine di promuovere lo sviluppo della cultura e la conoscenza del patrimonio culturale, a tutti i residenti nel territorio nazionale in possesso, ove previsto, di permesso di soggiorno in corso di validità, è assegnata, nell’anno del compimento del diciottesimo anno e nel rispetto del limite massimo di spesa di 230 milioni di euro annui a decorrere dal 2022, una Carta elettronica, utilizzabile per acquistare biglietti per rappresentazioni teatrali e cinematografiche e spettacoli dal vivo, libri, abbonamenti a quotidiani e periodici anche in formato digitale, musica registrata, prodotti dell'editoria audiovisiva, titoli di accesso a musei, mostre ed eventi culturali, monumenti, gallerie, aree archeologiche e parchi naturali nonché per sostenere i costi relativi a corsi di musica, di teatro o di lingua straniera. Il Ministero della cultura vigila sul corretto funzionamento della Carta e, in caso di eventuali usi difformi o di violazioni delle disposizioni attuative, può provvedere alla disattivazione della Carta, alla cancellazione dall’elenco delle strutture, imprese o esercizi commerciali accreditati, al diniego di accredito o al recupero delle somme non rendicontate correttamente o eventualmente utilizzate per spese inammissibili, nonché in via cautelare alla sospensione dell’erogazione degli accrediti oppure, in presenza di condotte più gravi o reiterate, alla sospensione dall’elenco dei soggetti accreditati. Le somme assegnate con la Carta non costituiscono reddito imponibile del beneficiario e non rilevano ai fini del computo del valore dell'ISEE. Con decreto del Ministro della cultura, di concerto con il Ministro dell’economia e delle finanze, da adottare entro sessanta giorni dalla data di entrata in vigore della presente legge, sono definiti gli importi nominali da assegnare nel rispetto del limite di spesa di cui al presente comma, i criteri e le modalità di attribuzione e di utilizzo della Carta.</w:t>
      </w:r>
    </w:p>
    <w:p w14:paraId="52CD088A" w14:textId="77777777" w:rsidR="00341334" w:rsidRPr="00EC14DE" w:rsidRDefault="00600483" w:rsidP="00081338">
      <w:pPr>
        <w:widowControl w:val="0"/>
        <w:rPr>
          <w:rFonts w:cs="Times New Roman"/>
          <w:bCs/>
          <w:lang w:eastAsia="it-IT"/>
        </w:rPr>
      </w:pPr>
      <w:r w:rsidRPr="00EC14DE">
        <w:rPr>
          <w:rFonts w:cs="Times New Roman"/>
          <w:bCs/>
          <w:lang w:eastAsia="it-IT"/>
        </w:rPr>
        <w:t>2</w:t>
      </w:r>
      <w:r w:rsidR="00341334" w:rsidRPr="00EC14DE">
        <w:rPr>
          <w:rFonts w:cs="Times New Roman"/>
          <w:bCs/>
          <w:lang w:eastAsia="it-IT"/>
        </w:rPr>
        <w:t xml:space="preserve">. </w:t>
      </w:r>
      <w:r w:rsidRPr="00EC14DE">
        <w:rPr>
          <w:rFonts w:cs="Times New Roman"/>
          <w:bCs/>
          <w:lang w:eastAsia="it-IT"/>
        </w:rPr>
        <w:t>Ai fini di cui al comma 1, secondo periodo, il Ministero della cultura e la Guardia di finanza stipulano una apposita convenzione volta a regolare le modalità di accesso ai dati e alle informazioni relativi all’assegnazione e all’utilizzo della Carta elettronica, per il loro utilizzo da parte del medesimo Corpo nelle autonome attività di polizia economico-finanziaria ai sensi del decreto legislativo 19 marzo 2001, n. 68.</w:t>
      </w:r>
    </w:p>
    <w:p w14:paraId="1ECD7598" w14:textId="77777777" w:rsidR="00BB0805" w:rsidRPr="00EC14DE" w:rsidRDefault="00BB0805"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(Fondazioni lirico sinfoniche)</w:t>
      </w:r>
    </w:p>
    <w:p w14:paraId="4B250B6E" w14:textId="77777777" w:rsidR="00BB0805" w:rsidRPr="00EC14DE" w:rsidRDefault="00BB0805" w:rsidP="007C594F">
      <w:pPr>
        <w:widowControl w:val="0"/>
      </w:pPr>
      <w:r w:rsidRPr="00EC14DE">
        <w:t xml:space="preserve">1. È istituito nello stato di previsione del Ministero della cultura un fondo con dotazione pari a 100 milioni di euro per l’anno 2022 e 50 milioni di euro per il 2023 per l’assegnazione di un contributo finalizzato a incrementare il fondo di dotazione delle fondazioni lirico-sinfoniche di cui al decreto legislativo 29 giugno 1996, n. 367, e di cui alla legge 11 novembre 2003, n. 310. </w:t>
      </w:r>
    </w:p>
    <w:p w14:paraId="6734522D" w14:textId="77777777" w:rsidR="00BB0805" w:rsidRPr="00EC14DE" w:rsidRDefault="00BB0805" w:rsidP="007C594F">
      <w:pPr>
        <w:widowControl w:val="0"/>
      </w:pPr>
      <w:r w:rsidRPr="00EC14DE">
        <w:t>2. Una quota non inferiore a 100 milioni di euro del fondo di cui al comma 1 è destinata alle fondazioni lirico-sinfoniche che nel bilancio consuntivo dell’esercizio 2021 redatto ai sensi degli articoli 2423 e seguenti del codice civile riportano una delle seguenti situazioni contabili:</w:t>
      </w:r>
    </w:p>
    <w:p w14:paraId="5D4172AB" w14:textId="77777777" w:rsidR="00BB0805" w:rsidRPr="00EC14DE" w:rsidRDefault="00BB0805" w:rsidP="007C594F">
      <w:pPr>
        <w:widowControl w:val="0"/>
      </w:pPr>
      <w:r w:rsidRPr="00EC14DE">
        <w:t xml:space="preserve">a)  un patrimonio netto negativo o un patrimonio disponibile negativo; </w:t>
      </w:r>
    </w:p>
    <w:p w14:paraId="32D900A9" w14:textId="77777777" w:rsidR="00BB0805" w:rsidRPr="00EC14DE" w:rsidRDefault="00BB0805" w:rsidP="007C594F">
      <w:pPr>
        <w:widowControl w:val="0"/>
      </w:pPr>
      <w:r w:rsidRPr="00EC14DE">
        <w:t>b) una riserva indisponibile iscritta al passivo dello stato patrimoniale o un patrimonio indisponibile, inferiori alla corrispondente voce intangibile dell’attivo patrimoniale denominata “diritto d’uso illimitato del teatro” riveniente dall’atto di trasformazione da ente autonomo in fondazione di diritto privato.</w:t>
      </w:r>
    </w:p>
    <w:p w14:paraId="49FB1482" w14:textId="77777777" w:rsidR="00BB0805" w:rsidRPr="00EC14DE" w:rsidRDefault="00BB0805" w:rsidP="007C594F">
      <w:pPr>
        <w:widowControl w:val="0"/>
      </w:pPr>
      <w:r w:rsidRPr="00EC14DE">
        <w:t>3. La restante quota del fondo di cui al comma 1 è destinata prioritariamente alle fondazioni lirico-sinfoniche che non riportano una delle situazioni contabili di cui al comma 2, per finanziare investimenti destinati ad incrementare l’attivo patrimoniale e finalizzati al rilancio delle attività di spettacolo dal vivo mediante l’acquisto di beni strumentali, mobili e immobili, nonché mediante la realizzazione di opere infrastrutturali volte all’adeguamento tecnologico, energetico e ambientale dei teatri e degli altri immobili utilizzati per lo svolgimento delle relative attività. Alle somme finanziate corrisponderà una riserva indisponibile di pari importo.</w:t>
      </w:r>
    </w:p>
    <w:p w14:paraId="404E9326" w14:textId="77777777" w:rsidR="00BB0805" w:rsidRPr="00EC14DE" w:rsidRDefault="00BB0805" w:rsidP="007C594F">
      <w:pPr>
        <w:widowControl w:val="0"/>
      </w:pPr>
      <w:r w:rsidRPr="00EC14DE">
        <w:t>4. Con uno o più decreti del Ministro della cultura, di concerto con il Ministro dell’economia e delle finanze, da adottare entro il 30 giugno 2022, sono stabilite le modalità di assegnazione ed erogazione delle risorse del fondo di cui al comma 1, nonché le modalità di impiego delle risorse assegnate e di relativa rendicontazione. Il Commissario straordinario di cui all’articolo 11 del decreto-legge 8 agosto 2013, n. 91, convertito, con modificazioni, dalla legge 7 ottobre 2013, n. 112, svolge l’istruttoria propedeutica all’adozione dei decreti ministeriali di cui al primo periodo e verifica il rispetto da parte delle fondazioni lirico-sinfoniche di quanto previsto dagli stessi decreti.</w:t>
      </w:r>
    </w:p>
    <w:p w14:paraId="216FDD11" w14:textId="77777777" w:rsidR="00D05B73" w:rsidRPr="00EC14DE" w:rsidRDefault="00BB0805" w:rsidP="007C594F">
      <w:pPr>
        <w:widowControl w:val="0"/>
      </w:pPr>
      <w:r w:rsidRPr="00EC14DE">
        <w:t>5. Quando la fondazione che ha ricevuto il contributo di cui al comma 2 produce nuovo disavanzo d’esercizio che riduce il patrimonio indisponibile, anche per un solo anno, il Ministro della cultura, anche su proposta del Ministro dell'economia e delle finanze, dispone lo scioglimento del consiglio di indirizzo o del consiglio di amministrazione e la fondazione è sottoposta ad amministrazione straordinaria. Si applicano le disposizioni di cui all’articolo 21, commi 2, 3, 4 e 5 del decreto legislativo 29 giugno 1996, n. 367</w:t>
      </w:r>
      <w:r w:rsidR="000970C8" w:rsidRPr="00EC14DE">
        <w:t>.</w:t>
      </w:r>
    </w:p>
    <w:p w14:paraId="5B809ADC" w14:textId="77777777" w:rsidR="00E61641" w:rsidRPr="00EC14DE" w:rsidRDefault="00E6164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(Potenziamento e adeguamento degli immobili degli Archivi di Stato)</w:t>
      </w:r>
    </w:p>
    <w:p w14:paraId="6FC1C0E9" w14:textId="77777777" w:rsidR="000C1842" w:rsidRPr="00EC14DE" w:rsidRDefault="000C1842" w:rsidP="000C1842">
      <w:pPr>
        <w:pStyle w:val="wordsection1"/>
        <w:jc w:val="both"/>
        <w:rPr>
          <w:sz w:val="22"/>
          <w:szCs w:val="22"/>
        </w:rPr>
      </w:pPr>
      <w:r w:rsidRPr="00EC14DE">
        <w:rPr>
          <w:sz w:val="22"/>
          <w:szCs w:val="22"/>
        </w:rPr>
        <w:t xml:space="preserve">1. Al fine di assicurare la conservazione e la fruizione del patrimonio archivistico, è autorizzata la spesa di 25 milioni di euro per il 2022, 45 milioni di euro per il 2023, 20 milioni di euro per il 2024 e 10 milioni di euro per il 2025 </w:t>
      </w:r>
      <w:r w:rsidRPr="00EC14DE">
        <w:rPr>
          <w:bCs/>
          <w:sz w:val="22"/>
          <w:szCs w:val="22"/>
        </w:rPr>
        <w:t>per la realizzazione di interventi di adeguamento antincendio e sismico degli istituti archivistici</w:t>
      </w:r>
      <w:r w:rsidRPr="00EC14DE">
        <w:rPr>
          <w:sz w:val="22"/>
          <w:szCs w:val="22"/>
        </w:rPr>
        <w:t xml:space="preserve"> </w:t>
      </w:r>
      <w:r w:rsidRPr="00EC14DE">
        <w:rPr>
          <w:bCs/>
          <w:sz w:val="22"/>
          <w:szCs w:val="22"/>
        </w:rPr>
        <w:t>nonché</w:t>
      </w:r>
      <w:r w:rsidRPr="00EC14DE">
        <w:rPr>
          <w:sz w:val="22"/>
          <w:szCs w:val="22"/>
        </w:rPr>
        <w:t xml:space="preserve"> per l’acquisto di immobili destinati agli Archivi di Stato </w:t>
      </w:r>
      <w:r w:rsidRPr="00EC14DE">
        <w:rPr>
          <w:bCs/>
          <w:sz w:val="22"/>
          <w:szCs w:val="22"/>
        </w:rPr>
        <w:t>già in possesso delle necessarie caratteristiche antisismiche e dotati di impianti adeguati alla normativa vigente.</w:t>
      </w:r>
    </w:p>
    <w:p w14:paraId="7712A66C" w14:textId="77777777" w:rsidR="000C1842" w:rsidRPr="00EC14DE" w:rsidRDefault="000C1842" w:rsidP="000C1842">
      <w:pPr>
        <w:pStyle w:val="wordsection1"/>
        <w:jc w:val="both"/>
        <w:rPr>
          <w:sz w:val="22"/>
          <w:szCs w:val="22"/>
        </w:rPr>
      </w:pPr>
      <w:r w:rsidRPr="00EC14DE">
        <w:rPr>
          <w:sz w:val="22"/>
          <w:szCs w:val="22"/>
        </w:rPr>
        <w:t xml:space="preserve">2. </w:t>
      </w:r>
      <w:r w:rsidRPr="00EC14DE">
        <w:rPr>
          <w:bCs/>
          <w:sz w:val="22"/>
          <w:szCs w:val="22"/>
        </w:rPr>
        <w:t>Con decreto del Ministro della cultura, di concerto con il Ministro dell’economia e delle finanze, da adottare entro sessanta giorni dalla data di entrata in vigore della presente legge, sono individuati gli interventi e i soggetti attuatori con indicazione dei codici unici di progetto, le modalità di monitoraggio degli interventi, il cronoprogramma procedurale con i relativi obiettivi determinati in coerenza con le risorse di cui al comma 1 nonché le modalità di revoca in caso di mancata alimentazione dei sistemi di monitoraggio o di mancato rispetto dei termini previsti dal cronoprogramma procedurale. Le informazioni necessarie per l'attuazione degli interventi sono rilevate attraverso il sistema di monitoraggio di cui al decreto legislativo 29 dicembre 2011, n. 229 e sistemi collegati</w:t>
      </w:r>
      <w:r w:rsidRPr="00EC14DE">
        <w:rPr>
          <w:sz w:val="22"/>
          <w:szCs w:val="22"/>
        </w:rPr>
        <w:t>.</w:t>
      </w:r>
    </w:p>
    <w:p w14:paraId="21878023" w14:textId="77777777" w:rsidR="00E61641" w:rsidRPr="00EC14DE" w:rsidRDefault="00430871" w:rsidP="007C594F">
      <w:pPr>
        <w:pStyle w:val="Titolo3"/>
        <w:keepNext w:val="0"/>
        <w:keepLines w:val="0"/>
        <w:widowControl w:val="0"/>
        <w:rPr>
          <w:lang w:eastAsia="it-IT"/>
        </w:rPr>
      </w:pPr>
      <w:r w:rsidRPr="00EC14DE">
        <w:t xml:space="preserve">ART. </w:t>
      </w:r>
      <w:r w:rsidRPr="00EC14DE">
        <w:fldChar w:fldCharType="begin"/>
      </w:r>
      <w:r w:rsidRPr="00EC14DE">
        <w:instrText xml:space="preserve"> AUTONUM  \* Arabic </w:instrText>
      </w:r>
      <w:r w:rsidRPr="00EC14DE">
        <w:fldChar w:fldCharType="end"/>
      </w:r>
      <w:r w:rsidR="00E61641" w:rsidRPr="00EC14DE">
        <w:br/>
        <w:t>(</w:t>
      </w:r>
      <w:r w:rsidR="00E61641" w:rsidRPr="00EC14DE">
        <w:rPr>
          <w:lang w:eastAsia="it-IT"/>
        </w:rPr>
        <w:t xml:space="preserve">Fondo unico nazionale per il turismo) </w:t>
      </w:r>
    </w:p>
    <w:p w14:paraId="664B7EC7" w14:textId="77777777" w:rsidR="00E61641" w:rsidRPr="00EC14DE" w:rsidRDefault="00E61641" w:rsidP="007C594F">
      <w:pPr>
        <w:widowControl w:val="0"/>
        <w:rPr>
          <w:lang w:eastAsia="it-IT"/>
        </w:rPr>
      </w:pPr>
      <w:r w:rsidRPr="00EC14DE">
        <w:rPr>
          <w:lang w:eastAsia="it-IT"/>
        </w:rPr>
        <w:t xml:space="preserve">1. Al fine di razionalizzare gli interventi finalizzati all’attrattività e alla promozione turistica nel territorio nazionale, sostenendo gli operatori del settore nel percorso di attenuazione degli effetti della crisi e per il rilancio produttivo ed occupazionale in sinergia con le misure previste dal Piano nazionale di ripresa e resilienza, nello stato di previsione del Ministero del turismo è istituito un fondo da ripartire denominato Fondo unico nazionale per il turismo di parte corrente, con una dotazione pari </w:t>
      </w:r>
      <w:r w:rsidR="009B6B7B" w:rsidRPr="00EC14DE">
        <w:rPr>
          <w:lang w:eastAsia="it-IT"/>
        </w:rPr>
        <w:t>120</w:t>
      </w:r>
      <w:r w:rsidRPr="00EC14DE">
        <w:rPr>
          <w:lang w:eastAsia="it-IT"/>
        </w:rPr>
        <w:t xml:space="preserve"> milioni di euro per </w:t>
      </w:r>
      <w:r w:rsidR="009E02A8" w:rsidRPr="00EC14DE">
        <w:rPr>
          <w:lang w:eastAsia="it-IT"/>
        </w:rPr>
        <w:t xml:space="preserve">gli anni </w:t>
      </w:r>
      <w:r w:rsidRPr="00EC14DE">
        <w:rPr>
          <w:lang w:eastAsia="it-IT"/>
        </w:rPr>
        <w:t>2022</w:t>
      </w:r>
      <w:r w:rsidR="009E02A8" w:rsidRPr="00EC14DE">
        <w:rPr>
          <w:lang w:eastAsia="it-IT"/>
        </w:rPr>
        <w:t xml:space="preserve"> e 2023</w:t>
      </w:r>
      <w:r w:rsidRPr="00EC14DE">
        <w:rPr>
          <w:lang w:eastAsia="it-IT"/>
        </w:rPr>
        <w:t xml:space="preserve"> e </w:t>
      </w:r>
      <w:r w:rsidR="009E02A8" w:rsidRPr="00EC14DE">
        <w:rPr>
          <w:lang w:eastAsia="it-IT"/>
        </w:rPr>
        <w:t xml:space="preserve">a </w:t>
      </w:r>
      <w:r w:rsidRPr="00EC14DE">
        <w:rPr>
          <w:lang w:eastAsia="it-IT"/>
        </w:rPr>
        <w:t>40 milioni di euro per l’anno 2024</w:t>
      </w:r>
      <w:r w:rsidR="009E02A8" w:rsidRPr="00EC14DE">
        <w:rPr>
          <w:lang w:eastAsia="it-IT"/>
        </w:rPr>
        <w:t>.</w:t>
      </w:r>
    </w:p>
    <w:p w14:paraId="794B7DBE" w14:textId="77777777" w:rsidR="00E61641" w:rsidRPr="00EC14DE" w:rsidRDefault="00E61641" w:rsidP="007C594F">
      <w:pPr>
        <w:widowControl w:val="0"/>
        <w:rPr>
          <w:lang w:eastAsia="it-IT"/>
        </w:rPr>
      </w:pPr>
      <w:r w:rsidRPr="00EC14DE">
        <w:rPr>
          <w:lang w:eastAsia="it-IT"/>
        </w:rPr>
        <w:t>2. Le risorse del fondo di cui al comma 1 sono destinate alle seguenti finalità:</w:t>
      </w:r>
    </w:p>
    <w:p w14:paraId="6023DFFA" w14:textId="77777777" w:rsidR="00E61641" w:rsidRPr="00EC14DE" w:rsidRDefault="00E61641" w:rsidP="007C594F">
      <w:pPr>
        <w:widowControl w:val="0"/>
        <w:rPr>
          <w:lang w:eastAsia="it-IT"/>
        </w:rPr>
      </w:pPr>
      <w:r w:rsidRPr="00EC14DE">
        <w:rPr>
          <w:lang w:eastAsia="it-IT"/>
        </w:rPr>
        <w:t>a) adozione di misure di salvaguardia per gli operatori economici del settore in grado di valorizzare le potenzialità del comparto di fronte agli effetti di crisi sistemiche o settoriali, concentrando le misure in favore degli operatori per i quali permangono condizioni che limitano l’ordinaria possibilità di svolgimento delle attività produttive e lavorative;</w:t>
      </w:r>
    </w:p>
    <w:p w14:paraId="5B5460B2" w14:textId="77777777" w:rsidR="00E61641" w:rsidRPr="00EC14DE" w:rsidRDefault="00E61641" w:rsidP="007C594F">
      <w:pPr>
        <w:widowControl w:val="0"/>
        <w:rPr>
          <w:lang w:eastAsia="it-IT"/>
        </w:rPr>
      </w:pPr>
      <w:r w:rsidRPr="00EC14DE">
        <w:rPr>
          <w:lang w:eastAsia="it-IT"/>
        </w:rPr>
        <w:t>b) promozione di politiche di sviluppo del turismo in grado di produrre positive ricadute economiche e sociali sui territori interessati e per le categorie produttive e sociali coinvolte.</w:t>
      </w:r>
    </w:p>
    <w:p w14:paraId="4F0E7590" w14:textId="77777777" w:rsidR="00017765" w:rsidRPr="00EC14DE" w:rsidRDefault="00017765" w:rsidP="00017765">
      <w:pPr>
        <w:pStyle w:val="wordsection1"/>
        <w:jc w:val="both"/>
        <w:rPr>
          <w:sz w:val="22"/>
          <w:szCs w:val="22"/>
        </w:rPr>
      </w:pPr>
      <w:r w:rsidRPr="00EC14DE">
        <w:rPr>
          <w:sz w:val="22"/>
          <w:szCs w:val="22"/>
        </w:rPr>
        <w:t xml:space="preserve">3. </w:t>
      </w:r>
      <w:r w:rsidRPr="00EC14DE">
        <w:rPr>
          <w:bCs/>
          <w:sz w:val="22"/>
          <w:szCs w:val="22"/>
        </w:rPr>
        <w:t xml:space="preserve">Per la realizzazione di investimenti finalizzati ad </w:t>
      </w:r>
      <w:r w:rsidRPr="00EC14DE">
        <w:rPr>
          <w:sz w:val="22"/>
          <w:szCs w:val="22"/>
        </w:rPr>
        <w:t xml:space="preserve">incrementare l’attrattività turistica del Paese, anche in relazione all’organizzazione di manifestazioni ed eventi, compresi quelli sportivi, connotati da spiccato rilievo turistico, garantendo positive ricadute sociali, economiche ed occupazionali sui territori e per le categorie interessate, nello stato di previsione del Ministero del turismo è istituito un fondo da ripartire denominato Fondo unico nazionale per il turismo di conto capitale, con una dotazione pari a 50 milioni di euro per l’anno 2022, 100 milioni di euro per l’anno 2023 e 50 milioni di euro per ciascuno degli anni 2024 e 2025. </w:t>
      </w:r>
    </w:p>
    <w:p w14:paraId="78C0FA8A" w14:textId="77777777" w:rsidR="00017765" w:rsidRPr="00EC14DE" w:rsidRDefault="00017765" w:rsidP="00017765">
      <w:pPr>
        <w:pStyle w:val="wordsection1"/>
        <w:jc w:val="both"/>
        <w:rPr>
          <w:sz w:val="22"/>
          <w:szCs w:val="22"/>
        </w:rPr>
      </w:pPr>
      <w:r w:rsidRPr="00EC14DE">
        <w:rPr>
          <w:sz w:val="22"/>
          <w:szCs w:val="22"/>
        </w:rPr>
        <w:t xml:space="preserve">4. Con decreto del Ministro del turismo, </w:t>
      </w:r>
      <w:r w:rsidRPr="00EC14DE">
        <w:rPr>
          <w:bCs/>
          <w:sz w:val="22"/>
          <w:szCs w:val="22"/>
        </w:rPr>
        <w:t>di concerto con il Ministro dell’economia e delle finanze,</w:t>
      </w:r>
      <w:r w:rsidRPr="00EC14DE">
        <w:rPr>
          <w:sz w:val="22"/>
          <w:szCs w:val="22"/>
        </w:rPr>
        <w:t xml:space="preserve"> da adottare entro sessanta giorni dalla data di entrata in vigore della presente legge, sono stabilite le modalità di attuazione, di riparto e di assegnazione delle risorse dei fondi di cui ai commi 1 e 3. </w:t>
      </w:r>
    </w:p>
    <w:p w14:paraId="1E58692F" w14:textId="77777777" w:rsidR="00017765" w:rsidRPr="00EC14DE" w:rsidRDefault="00017765" w:rsidP="00017765">
      <w:pPr>
        <w:pStyle w:val="wordsection1"/>
        <w:jc w:val="both"/>
        <w:rPr>
          <w:sz w:val="22"/>
          <w:szCs w:val="22"/>
        </w:rPr>
      </w:pPr>
      <w:r w:rsidRPr="00EC14DE">
        <w:rPr>
          <w:bCs/>
          <w:sz w:val="22"/>
          <w:szCs w:val="22"/>
        </w:rPr>
        <w:t>5.</w:t>
      </w:r>
      <w:r w:rsidR="00B57368" w:rsidRPr="00EC14DE">
        <w:rPr>
          <w:bCs/>
          <w:sz w:val="22"/>
          <w:szCs w:val="22"/>
        </w:rPr>
        <w:t xml:space="preserve"> </w:t>
      </w:r>
      <w:r w:rsidRPr="00EC14DE">
        <w:rPr>
          <w:bCs/>
          <w:sz w:val="22"/>
          <w:szCs w:val="22"/>
        </w:rPr>
        <w:t xml:space="preserve">Per le risorse del fondo di cui al comma 3, il medesimo decreto individua </w:t>
      </w:r>
      <w:r w:rsidR="00113B36" w:rsidRPr="00EC14DE">
        <w:rPr>
          <w:bCs/>
          <w:sz w:val="22"/>
          <w:szCs w:val="22"/>
        </w:rPr>
        <w:t xml:space="preserve">un Piano con </w:t>
      </w:r>
      <w:r w:rsidRPr="00EC14DE">
        <w:rPr>
          <w:bCs/>
          <w:sz w:val="22"/>
          <w:szCs w:val="22"/>
        </w:rPr>
        <w:t>gli interventi e i soggetti attuatori con indicazione dei codici unici di progetto, le modalità di monitoraggio degli interventi</w:t>
      </w:r>
      <w:r w:rsidR="00B57368" w:rsidRPr="00EC14DE">
        <w:rPr>
          <w:bCs/>
          <w:sz w:val="22"/>
          <w:szCs w:val="22"/>
        </w:rPr>
        <w:t>,</w:t>
      </w:r>
      <w:r w:rsidRPr="00EC14DE">
        <w:rPr>
          <w:bCs/>
          <w:sz w:val="22"/>
          <w:szCs w:val="22"/>
        </w:rPr>
        <w:t xml:space="preserve"> il cronoprogramma procedurale con</w:t>
      </w:r>
      <w:r w:rsidR="00113B36" w:rsidRPr="00EC14DE">
        <w:rPr>
          <w:bCs/>
          <w:sz w:val="22"/>
          <w:szCs w:val="22"/>
        </w:rPr>
        <w:t xml:space="preserve"> i relativi</w:t>
      </w:r>
      <w:r w:rsidRPr="00EC14DE">
        <w:rPr>
          <w:bCs/>
          <w:sz w:val="22"/>
          <w:szCs w:val="22"/>
        </w:rPr>
        <w:t xml:space="preserve"> obiettivi determinati in coerenza con gli stanziamenti di cui a</w:t>
      </w:r>
      <w:r w:rsidR="00B57368" w:rsidRPr="00EC14DE">
        <w:rPr>
          <w:bCs/>
          <w:sz w:val="22"/>
          <w:szCs w:val="22"/>
        </w:rPr>
        <w:t>l comma 3, nonché le modalità di revoca in caso di mancata alimentazione dei sistemi di monitoraggio o di mancato rispetto dei termini previsti dal cronoprogramma procedurale. Le informazioni necessarie per l'attuazione degli interventi di cui al comma 3 sono rilevate attraverso il sistema di monitoraggio di cui al decreto legislativo 29 dicembre 2011, n. 229 e sistemi collegati.</w:t>
      </w:r>
      <w:r w:rsidRPr="00EC14DE">
        <w:rPr>
          <w:bCs/>
          <w:sz w:val="22"/>
          <w:szCs w:val="22"/>
        </w:rPr>
        <w:t xml:space="preserve"> </w:t>
      </w:r>
    </w:p>
    <w:p w14:paraId="40C7FD07" w14:textId="77777777" w:rsidR="00017765" w:rsidRPr="00EC14DE" w:rsidRDefault="00017765" w:rsidP="00017765">
      <w:pPr>
        <w:pStyle w:val="wordsection1"/>
        <w:autoSpaceDE w:val="0"/>
        <w:autoSpaceDN w:val="0"/>
        <w:jc w:val="both"/>
        <w:rPr>
          <w:sz w:val="22"/>
          <w:szCs w:val="22"/>
        </w:rPr>
      </w:pPr>
      <w:r w:rsidRPr="00EC14DE">
        <w:rPr>
          <w:bCs/>
          <w:sz w:val="22"/>
          <w:szCs w:val="22"/>
        </w:rPr>
        <w:t>6.</w:t>
      </w:r>
      <w:r w:rsidRPr="00EC14DE">
        <w:rPr>
          <w:sz w:val="22"/>
          <w:szCs w:val="22"/>
        </w:rPr>
        <w:t xml:space="preserve"> Il Ministro del turismo presenta ogni anno alle Commissioni parlamentari competenti una relazione sull’attività svolta e sulle risorse impiegate dei fondi di cui ai commi 1 e 3. </w:t>
      </w:r>
    </w:p>
    <w:p w14:paraId="5342BDEC" w14:textId="77777777" w:rsidR="00592869" w:rsidRPr="00EC14DE" w:rsidRDefault="00592869" w:rsidP="000970C8">
      <w:pPr>
        <w:pStyle w:val="Titolo3"/>
        <w:rPr>
          <w:rFonts w:ascii="Calibri" w:hAnsi="Calibri" w:cs="Calibri"/>
        </w:rPr>
      </w:pPr>
      <w:r w:rsidRPr="00EC14DE">
        <w:t xml:space="preserve">ART. </w:t>
      </w:r>
      <w:r w:rsidRPr="00EC14DE">
        <w:fldChar w:fldCharType="begin"/>
      </w:r>
      <w:r w:rsidRPr="00EC14DE">
        <w:instrText xml:space="preserve"> AUTONUM  \* Arabic </w:instrText>
      </w:r>
      <w:r w:rsidRPr="00EC14DE">
        <w:fldChar w:fldCharType="end"/>
      </w:r>
      <w:r w:rsidRPr="00EC14DE">
        <w:br/>
        <w:t>(Banca dati strutture ricettive)</w:t>
      </w:r>
    </w:p>
    <w:p w14:paraId="427CF268" w14:textId="77777777" w:rsidR="00592869" w:rsidRPr="00EC14DE" w:rsidRDefault="00592869" w:rsidP="000970C8">
      <w:pPr>
        <w:pStyle w:val="wordsection1"/>
        <w:autoSpaceDE w:val="0"/>
        <w:autoSpaceDN w:val="0"/>
        <w:jc w:val="both"/>
        <w:rPr>
          <w:rFonts w:ascii="Calibri" w:hAnsi="Calibri" w:cs="Calibri"/>
          <w:sz w:val="22"/>
          <w:szCs w:val="22"/>
        </w:rPr>
      </w:pPr>
      <w:r w:rsidRPr="00EC14DE">
        <w:rPr>
          <w:sz w:val="22"/>
          <w:szCs w:val="22"/>
        </w:rPr>
        <w:t>1. All’articolo 13-quater, comma 4, del decreto-legge 30 aprile 2019, n. 34, convertito, con modificazioni, dalla legge 28 giugno 2019, n. 58, dopo le parole “alle informazioni che vi sono contenute”, sono aggiunte le seguenti: “e della loro pubblicazione sul sito internet istituzionale del Ministero del turismo.</w:t>
      </w:r>
    </w:p>
    <w:p w14:paraId="4E6C5A4B" w14:textId="77777777" w:rsidR="00592869" w:rsidRPr="00EC14DE" w:rsidRDefault="00592869" w:rsidP="000970C8">
      <w:pPr>
        <w:pStyle w:val="wordsection1"/>
        <w:autoSpaceDE w:val="0"/>
        <w:autoSpaceDN w:val="0"/>
        <w:jc w:val="both"/>
        <w:rPr>
          <w:rFonts w:ascii="Calibri" w:hAnsi="Calibri" w:cs="Calibri"/>
          <w:sz w:val="22"/>
          <w:szCs w:val="22"/>
        </w:rPr>
      </w:pPr>
      <w:r w:rsidRPr="00EC14DE">
        <w:rPr>
          <w:sz w:val="22"/>
          <w:szCs w:val="22"/>
        </w:rPr>
        <w:t>Per le esigenze di contrasto all’evasione fiscale e contributiva, la banca dati è accessibile all’amministrazione finanziaria degli enti creditori per le finalità istituzionali”.</w:t>
      </w:r>
    </w:p>
    <w:p w14:paraId="2DD0D945" w14:textId="77777777" w:rsidR="00592869" w:rsidRPr="00EC14DE" w:rsidRDefault="00592869" w:rsidP="000970C8">
      <w:pPr>
        <w:pStyle w:val="wordsection1"/>
        <w:autoSpaceDE w:val="0"/>
        <w:autoSpaceDN w:val="0"/>
        <w:jc w:val="both"/>
        <w:rPr>
          <w:sz w:val="22"/>
          <w:szCs w:val="22"/>
        </w:rPr>
      </w:pPr>
      <w:r w:rsidRPr="00EC14DE">
        <w:rPr>
          <w:sz w:val="22"/>
          <w:szCs w:val="22"/>
        </w:rPr>
        <w:t>2. Per le finalità di cui all’articolo 13-quater, comma 4, del decreto-legge 30 aprile 2019, n. 34, convertito, con modificazioni, dalla legge 28 giugno 2019, n. 58, è autorizzata la spesa di 5 milioni d</w:t>
      </w:r>
      <w:r w:rsidR="00271568" w:rsidRPr="00EC14DE">
        <w:rPr>
          <w:sz w:val="22"/>
          <w:szCs w:val="22"/>
        </w:rPr>
        <w:t>i euro per ciascuno degli anni </w:t>
      </w:r>
      <w:r w:rsidRPr="00EC14DE">
        <w:rPr>
          <w:sz w:val="22"/>
          <w:szCs w:val="22"/>
        </w:rPr>
        <w:t>2022, 2023 e 2024.</w:t>
      </w:r>
    </w:p>
    <w:p w14:paraId="402C06BB" w14:textId="77777777" w:rsidR="00271568" w:rsidRPr="00EC14DE" w:rsidRDefault="00271568" w:rsidP="00592869">
      <w:pPr>
        <w:pStyle w:val="wordsection1"/>
        <w:autoSpaceDE w:val="0"/>
        <w:autoSpaceDN w:val="0"/>
        <w:jc w:val="both"/>
        <w:rPr>
          <w:sz w:val="22"/>
          <w:szCs w:val="22"/>
        </w:rPr>
      </w:pPr>
    </w:p>
    <w:p w14:paraId="740B0587" w14:textId="77777777" w:rsidR="00877E01" w:rsidRPr="00EC14DE" w:rsidRDefault="00877E0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(Fondo editoria) </w:t>
      </w:r>
    </w:p>
    <w:p w14:paraId="65E004D3" w14:textId="77777777" w:rsidR="004B4FCE" w:rsidRPr="00EC14DE" w:rsidRDefault="004B4FCE" w:rsidP="007C594F">
      <w:pPr>
        <w:pStyle w:val="s14"/>
        <w:widowControl w:val="0"/>
        <w:spacing w:before="0" w:beforeAutospacing="0" w:after="0" w:afterAutospacing="0"/>
        <w:jc w:val="both"/>
        <w:rPr>
          <w:rStyle w:val="bumpedfont15"/>
          <w:rFonts w:eastAsiaTheme="minorHAnsi"/>
          <w:sz w:val="22"/>
          <w:szCs w:val="22"/>
        </w:rPr>
      </w:pPr>
      <w:r w:rsidRPr="00EC14DE">
        <w:rPr>
          <w:rStyle w:val="bumpedfont15"/>
          <w:rFonts w:eastAsiaTheme="minorHAnsi"/>
          <w:sz w:val="22"/>
          <w:szCs w:val="22"/>
        </w:rPr>
        <w:t>1. È istituito</w:t>
      </w:r>
      <w:r w:rsidRPr="00EC14DE">
        <w:rPr>
          <w:sz w:val="22"/>
          <w:szCs w:val="22"/>
        </w:rPr>
        <w:t xml:space="preserve"> </w:t>
      </w:r>
      <w:r w:rsidRPr="00EC14DE">
        <w:rPr>
          <w:rStyle w:val="bumpedfont15"/>
          <w:rFonts w:eastAsiaTheme="minorHAnsi"/>
          <w:sz w:val="22"/>
          <w:szCs w:val="22"/>
        </w:rPr>
        <w:t>presso il Ministero dell'economia e delle finanze per il successivo trasferimento al bilancio autonomo della Presidenza del Consiglio dei ministri, il «Fondo straordinario per gli interventi di sostegno all'editoria»</w:t>
      </w:r>
      <w:r w:rsidRPr="00EC14DE">
        <w:rPr>
          <w:rFonts w:eastAsiaTheme="minorHAnsi"/>
          <w:sz w:val="22"/>
          <w:szCs w:val="22"/>
        </w:rPr>
        <w:t xml:space="preserve"> </w:t>
      </w:r>
      <w:r w:rsidRPr="00EC14DE">
        <w:rPr>
          <w:rStyle w:val="bumpedfont15"/>
          <w:rFonts w:eastAsiaTheme="minorHAnsi"/>
          <w:sz w:val="22"/>
          <w:szCs w:val="22"/>
        </w:rPr>
        <w:t>con una dotazione pari a 90 milioni di euro per l’anno 2022 e 140 milioni di euro per l’anno 2023.</w:t>
      </w:r>
    </w:p>
    <w:p w14:paraId="5E260B5C" w14:textId="77777777" w:rsidR="004B4FCE" w:rsidRPr="00EC14DE" w:rsidRDefault="004B4FCE" w:rsidP="007C594F">
      <w:pPr>
        <w:pStyle w:val="s14"/>
        <w:widowControl w:val="0"/>
        <w:spacing w:before="0" w:beforeAutospacing="0" w:after="0" w:afterAutospacing="0"/>
        <w:jc w:val="both"/>
        <w:rPr>
          <w:rStyle w:val="bumpedfont15"/>
          <w:rFonts w:eastAsiaTheme="minorHAnsi"/>
          <w:sz w:val="22"/>
          <w:szCs w:val="22"/>
        </w:rPr>
      </w:pPr>
      <w:r w:rsidRPr="00EC14DE">
        <w:rPr>
          <w:rStyle w:val="bumpedfont15"/>
          <w:rFonts w:eastAsiaTheme="minorHAnsi"/>
          <w:sz w:val="22"/>
          <w:szCs w:val="22"/>
        </w:rPr>
        <w:t>2. Il fondo di cui al comma 1 è destinato a incentivare gli investimenti delle imprese editoriali, anche di nuova costituzione, orientati all’innovazione</w:t>
      </w:r>
      <w:r w:rsidRPr="00EC14DE">
        <w:rPr>
          <w:rFonts w:eastAsiaTheme="minorHAnsi"/>
          <w:sz w:val="22"/>
          <w:szCs w:val="22"/>
        </w:rPr>
        <w:t xml:space="preserve"> </w:t>
      </w:r>
      <w:r w:rsidRPr="00EC14DE">
        <w:rPr>
          <w:rStyle w:val="bumpedfont15"/>
          <w:rFonts w:eastAsiaTheme="minorHAnsi"/>
          <w:sz w:val="22"/>
          <w:szCs w:val="22"/>
        </w:rPr>
        <w:t>tecnologica e alla transizione digitale, all’ingresso di giovani professionisti</w:t>
      </w:r>
      <w:r w:rsidRPr="00EC14DE">
        <w:rPr>
          <w:rFonts w:eastAsiaTheme="minorHAnsi"/>
          <w:sz w:val="22"/>
          <w:szCs w:val="22"/>
        </w:rPr>
        <w:t xml:space="preserve"> </w:t>
      </w:r>
      <w:r w:rsidRPr="00EC14DE">
        <w:rPr>
          <w:rStyle w:val="bumpedfont15"/>
          <w:rFonts w:eastAsiaTheme="minorHAnsi"/>
          <w:sz w:val="22"/>
          <w:szCs w:val="22"/>
        </w:rPr>
        <w:t xml:space="preserve">qualificati nel campo dei nuovi   media, nonché    a   sostenere   le ristrutturazioni aziendali e gli ammortizzatori sociali e a sostegno della domanda di informazione. </w:t>
      </w:r>
    </w:p>
    <w:p w14:paraId="748EBA29" w14:textId="77777777" w:rsidR="004B4FCE" w:rsidRPr="00EC14DE" w:rsidRDefault="004B4FCE" w:rsidP="007C594F">
      <w:pPr>
        <w:pStyle w:val="s14"/>
        <w:widowControl w:val="0"/>
        <w:spacing w:before="0" w:beforeAutospacing="0" w:after="0" w:afterAutospacing="0"/>
        <w:jc w:val="both"/>
        <w:rPr>
          <w:rFonts w:eastAsiaTheme="minorHAnsi"/>
          <w:sz w:val="22"/>
          <w:szCs w:val="22"/>
        </w:rPr>
      </w:pPr>
      <w:r w:rsidRPr="00EC14DE">
        <w:rPr>
          <w:rStyle w:val="bumpedfont15"/>
          <w:rFonts w:eastAsiaTheme="minorHAnsi"/>
          <w:sz w:val="22"/>
          <w:szCs w:val="22"/>
        </w:rPr>
        <w:t>3. Con  decreto del Presidente del Consiglio dei ministri, ovvero del sottosegretario di Stato alla Presidenza del Consiglio dei ministri  con  delega  per l'informazione, la comunicazione e l'editoria, da adottare  entro  il  31 marzo di ciascun anno del biennio, di concerto  con  il  Ministro  del lavoro e delle politiche  sociali,  il  Ministro  dello  sviluppo economico e il Ministro dell'economia e delle  finanze,  sentite  le organizzazioni sindacali  dei  datori  di  lavoro  e  dei  lavoratori comparativamente più rappresentative sul piano nazionale nel settore delle imprese editrici e delle agenzie di stampa, è definita, previa ricognizione annuale delle  specifiche  esigenze, la ripartizione delle risorse del Fondo di cui al comma 1. </w:t>
      </w:r>
    </w:p>
    <w:p w14:paraId="2288ACC2" w14:textId="77777777" w:rsidR="009F4A94" w:rsidRPr="00EC14DE" w:rsidRDefault="009F4A94" w:rsidP="00E97BB1">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(Credito d'imposta per l'acquisto della carta dei giornali)</w:t>
      </w:r>
    </w:p>
    <w:p w14:paraId="70585DAC" w14:textId="77777777" w:rsidR="009F4A94" w:rsidRPr="00EC14DE" w:rsidRDefault="009F4A94" w:rsidP="007C594F">
      <w:pPr>
        <w:widowControl w:val="0"/>
        <w:rPr>
          <w:strike/>
        </w:rPr>
      </w:pPr>
      <w:r w:rsidRPr="00EC14DE">
        <w:t xml:space="preserve">1. Il credito d’imposta in favore delle imprese editrici di quotidiani e di periodici di cui all'articolo 188 del decreto-legge 19 maggio 2020, n. 34, convertito, con modificazioni, dalla legge 17 luglio 2020, n. 77, è riconosciuto anche per gli anni 2022 e 2023 nella misura del 30 per cento delle spese sostenute, rispettivamente negli anni 2021 e 2022, entro il limite di 60 milioni di euro per ciascuno degli anni 2022 e 2023, che costituisce limite massimo di spesa. </w:t>
      </w:r>
    </w:p>
    <w:p w14:paraId="090E8F77" w14:textId="77777777" w:rsidR="009F4A94" w:rsidRPr="00EC14DE" w:rsidRDefault="009F4A94" w:rsidP="007C594F">
      <w:pPr>
        <w:widowControl w:val="0"/>
      </w:pPr>
      <w:r w:rsidRPr="00EC14DE">
        <w:t>2. Si applicano, in quanto compatibili, le disposizioni del citato articolo 188 del decreto-legge n. 34 del 2020, convertito, con modificazioni, dalla legge n. 77 del 2020.</w:t>
      </w:r>
    </w:p>
    <w:p w14:paraId="0EA28500" w14:textId="77777777" w:rsidR="009F4A94" w:rsidRPr="00EC14DE" w:rsidRDefault="009F4A94"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(Incremento del Fondo per l’innovazione tecnologica e la digitalizzazione) </w:t>
      </w:r>
    </w:p>
    <w:p w14:paraId="0BD51065" w14:textId="77777777" w:rsidR="009F4A94" w:rsidRPr="00EC14DE" w:rsidRDefault="009F4A94" w:rsidP="00461F23">
      <w:pPr>
        <w:widowControl w:val="0"/>
        <w:rPr>
          <w:rFonts w:eastAsia="Times New Roman" w:cs="Times New Roman"/>
        </w:rPr>
      </w:pPr>
      <w:r w:rsidRPr="00EC14DE">
        <w:rPr>
          <w:rFonts w:eastAsia="Times New Roman" w:cs="Times New Roman"/>
        </w:rPr>
        <w:t>1. All’articolo 239 del decreto-legge 19 maggio 2020, n. 34, convertito</w:t>
      </w:r>
      <w:r w:rsidR="00747A10" w:rsidRPr="00EC14DE">
        <w:rPr>
          <w:rFonts w:eastAsia="Times New Roman" w:cs="Times New Roman"/>
        </w:rPr>
        <w:t>,</w:t>
      </w:r>
      <w:r w:rsidRPr="00EC14DE">
        <w:rPr>
          <w:rFonts w:eastAsia="Times New Roman" w:cs="Times New Roman"/>
        </w:rPr>
        <w:t xml:space="preserve"> con</w:t>
      </w:r>
      <w:r w:rsidR="00747A10" w:rsidRPr="00EC14DE">
        <w:rPr>
          <w:rFonts w:eastAsia="Times New Roman" w:cs="Times New Roman"/>
        </w:rPr>
        <w:t xml:space="preserve"> modificazioni, dalla legge</w:t>
      </w:r>
      <w:r w:rsidRPr="00EC14DE">
        <w:rPr>
          <w:rFonts w:eastAsia="Times New Roman" w:cs="Times New Roman"/>
        </w:rPr>
        <w:t xml:space="preserve"> 17 luglio 2020, n. 77, al comma</w:t>
      </w:r>
      <w:r w:rsidR="00461F23">
        <w:rPr>
          <w:rFonts w:eastAsia="Times New Roman" w:cs="Times New Roman"/>
        </w:rPr>
        <w:t xml:space="preserve"> 1</w:t>
      </w:r>
      <w:r w:rsidRPr="00EC14DE">
        <w:rPr>
          <w:rFonts w:eastAsia="Times New Roman" w:cs="Times New Roman"/>
        </w:rPr>
        <w:t xml:space="preserve">, dopo le parole “di 50 milioni di euro per l’anno 2020”, sono aggiunte le seguenti: </w:t>
      </w:r>
      <w:r w:rsidR="00A62326" w:rsidRPr="00EC14DE">
        <w:rPr>
          <w:rFonts w:eastAsia="Times New Roman" w:cs="Times New Roman"/>
        </w:rPr>
        <w:t>“</w:t>
      </w:r>
      <w:r w:rsidRPr="00EC14DE">
        <w:rPr>
          <w:rFonts w:eastAsia="Times New Roman" w:cs="Times New Roman"/>
        </w:rPr>
        <w:t xml:space="preserve">di </w:t>
      </w:r>
      <w:r w:rsidR="00A62326" w:rsidRPr="00EC14DE">
        <w:rPr>
          <w:rFonts w:eastAsia="Times New Roman" w:cs="Times New Roman"/>
        </w:rPr>
        <w:t xml:space="preserve">5 milioni di euro </w:t>
      </w:r>
      <w:r w:rsidR="00A62326" w:rsidRPr="00EC14DE">
        <w:rPr>
          <w:rFonts w:cs="Times New Roman"/>
          <w:iCs/>
        </w:rPr>
        <w:t xml:space="preserve">per </w:t>
      </w:r>
      <w:r w:rsidR="00EC73DE" w:rsidRPr="00EC14DE">
        <w:rPr>
          <w:rFonts w:cs="Times New Roman"/>
          <w:iCs/>
        </w:rPr>
        <w:t xml:space="preserve">l’anno </w:t>
      </w:r>
      <w:r w:rsidR="00A62326" w:rsidRPr="00EC14DE">
        <w:rPr>
          <w:rFonts w:cs="Times New Roman"/>
          <w:iCs/>
        </w:rPr>
        <w:t xml:space="preserve">2022, 10 milioni di euro per </w:t>
      </w:r>
      <w:r w:rsidR="00EC73DE" w:rsidRPr="00EC14DE">
        <w:rPr>
          <w:rFonts w:cs="Times New Roman"/>
          <w:iCs/>
        </w:rPr>
        <w:t xml:space="preserve">l’anno </w:t>
      </w:r>
      <w:r w:rsidR="00A62326" w:rsidRPr="00EC14DE">
        <w:rPr>
          <w:rFonts w:cs="Times New Roman"/>
          <w:iCs/>
        </w:rPr>
        <w:t xml:space="preserve">2023 e 20 milioni di euro per </w:t>
      </w:r>
      <w:r w:rsidR="00EC73DE" w:rsidRPr="00EC14DE">
        <w:rPr>
          <w:rFonts w:cs="Times New Roman"/>
          <w:iCs/>
        </w:rPr>
        <w:t xml:space="preserve">l’anno </w:t>
      </w:r>
      <w:r w:rsidR="00A62326" w:rsidRPr="00EC14DE">
        <w:rPr>
          <w:rFonts w:cs="Times New Roman"/>
          <w:iCs/>
        </w:rPr>
        <w:t>2024</w:t>
      </w:r>
      <w:r w:rsidR="00A62326" w:rsidRPr="00EC14DE">
        <w:rPr>
          <w:rFonts w:eastAsia="Times New Roman" w:cs="Times New Roman"/>
        </w:rPr>
        <w:t>”</w:t>
      </w:r>
      <w:r w:rsidR="00C00439" w:rsidRPr="00EC14DE">
        <w:rPr>
          <w:rFonts w:eastAsia="Times New Roman" w:cs="Times New Roman"/>
        </w:rPr>
        <w:t>.</w:t>
      </w:r>
    </w:p>
    <w:p w14:paraId="07E2996F" w14:textId="77777777" w:rsidR="000970C8" w:rsidRPr="00EC14DE" w:rsidRDefault="000970C8">
      <w:pPr>
        <w:spacing w:after="160" w:line="259" w:lineRule="auto"/>
        <w:jc w:val="left"/>
        <w:rPr>
          <w:rFonts w:eastAsiaTheme="majorEastAsia" w:cstheme="majorBidi"/>
          <w:b/>
          <w:sz w:val="24"/>
          <w:szCs w:val="32"/>
        </w:rPr>
      </w:pPr>
      <w:r w:rsidRPr="00EC14DE">
        <w:br w:type="page"/>
      </w:r>
    </w:p>
    <w:p w14:paraId="1B24E748" w14:textId="77777777" w:rsidR="00BF3D4A" w:rsidRPr="00EC14DE" w:rsidRDefault="00220526" w:rsidP="007C594F">
      <w:pPr>
        <w:pStyle w:val="Titolo1"/>
        <w:keepNext w:val="0"/>
        <w:keepLines w:val="0"/>
        <w:widowControl w:val="0"/>
      </w:pPr>
      <w:r w:rsidRPr="00EC14DE">
        <w:t xml:space="preserve">Titolo </w:t>
      </w:r>
      <w:r w:rsidR="00C91704" w:rsidRPr="00EC14DE">
        <w:t>I</w:t>
      </w:r>
      <w:r w:rsidR="00BF3D4A" w:rsidRPr="00EC14DE">
        <w:t>X</w:t>
      </w:r>
      <w:r w:rsidR="00BF3D4A" w:rsidRPr="00EC14DE">
        <w:br/>
        <w:t xml:space="preserve">Misure per la partecipazione dell’Italia all’Unione europea e ad organismi internazionali </w:t>
      </w:r>
    </w:p>
    <w:p w14:paraId="71C97238" w14:textId="77777777" w:rsidR="00B72EA1" w:rsidRPr="00EC14DE" w:rsidRDefault="00B72EA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(Cooperazione allo sviluppo)</w:t>
      </w:r>
    </w:p>
    <w:p w14:paraId="582FCFF8" w14:textId="77777777" w:rsidR="00B72EA1" w:rsidRPr="00EC14DE" w:rsidRDefault="00B72EA1" w:rsidP="007C594F">
      <w:pPr>
        <w:widowControl w:val="0"/>
      </w:pPr>
      <w:r w:rsidRPr="00EC14DE">
        <w:t xml:space="preserve">1. Al fine di rafforzare l’azione dell’Italia nell'ambito della cooperazione internazionale per lo sviluppo, sono disposti i seguenti interventi: </w:t>
      </w:r>
    </w:p>
    <w:p w14:paraId="3D4A4039" w14:textId="77777777" w:rsidR="00FA01F6" w:rsidRPr="00EC14DE" w:rsidRDefault="00B72EA1" w:rsidP="007C594F">
      <w:pPr>
        <w:widowControl w:val="0"/>
      </w:pPr>
      <w:r w:rsidRPr="00EC14DE">
        <w:t xml:space="preserve">a) l’autorizzazione di spesa di cui all’articolo 18, comma 2, lettera c), della legge 11 agosto 2014, n. 125, è incrementata di euro </w:t>
      </w:r>
      <w:r w:rsidR="00FA01F6" w:rsidRPr="00EC14DE">
        <w:t>99 milioni per l'anno 2022, di euro 199 milioni per l'anno 2023, e di euro 249 milioni per l’anno 2024, di euro 299 milioni per l’anno 2025, di euro 349 milioni annui a decorrere dall’anno 2026;</w:t>
      </w:r>
    </w:p>
    <w:p w14:paraId="648EB075" w14:textId="77777777" w:rsidR="00B72EA1" w:rsidRPr="00EC14DE" w:rsidRDefault="00B72EA1" w:rsidP="007C594F">
      <w:pPr>
        <w:widowControl w:val="0"/>
      </w:pPr>
      <w:r w:rsidRPr="00EC14DE">
        <w:t>b) alla legge 11 agosto 2014, n. 125, sono apportate le seguenti modificazioni:</w:t>
      </w:r>
    </w:p>
    <w:p w14:paraId="51146BF8" w14:textId="77777777" w:rsidR="00B72EA1" w:rsidRPr="00EC14DE" w:rsidRDefault="00B72EA1" w:rsidP="007C594F">
      <w:pPr>
        <w:widowControl w:val="0"/>
      </w:pPr>
      <w:r w:rsidRPr="00EC14DE">
        <w:t>1) all’articolo 8, comma 1, è aggiunto, in fine, il seguente periodo: “La dotazione del fondo rotativo di cui al presente comma e della quota di cui all’articolo 27, comma 3, può essere incrementata mediante apporto finanziario da parte di soggetti pubblici o privati, anche a valere su risorse europee.”;</w:t>
      </w:r>
    </w:p>
    <w:p w14:paraId="177EDF6A" w14:textId="77777777" w:rsidR="00B72EA1" w:rsidRPr="00EC14DE" w:rsidRDefault="00B72EA1" w:rsidP="007C594F">
      <w:pPr>
        <w:widowControl w:val="0"/>
      </w:pPr>
      <w:r w:rsidRPr="00EC14DE">
        <w:t xml:space="preserve">2) all’articolo 20, comma 2, dopo le parole “crediti di cui agli articoli 8 e 27;” sono inserite le seguenti: “attività e servizi di comunicazione finalizzati alla valorizzazione degli interventi di cooperazione allo sviluppo”; e le parole “dell'Agenzia sulla base di convenzioni approvate dal Comitato congiunto di cui all'articolo 21” sono sostituite dalle seguenti: “del Ministero degli </w:t>
      </w:r>
      <w:r w:rsidR="00E30BD0" w:rsidRPr="00EC14DE">
        <w:t xml:space="preserve">affari </w:t>
      </w:r>
      <w:r w:rsidRPr="00EC14DE">
        <w:t>Esteri e della Cooperazione internazionale”;</w:t>
      </w:r>
    </w:p>
    <w:p w14:paraId="794DA292" w14:textId="77777777" w:rsidR="00B72EA1" w:rsidRPr="00EC14DE" w:rsidRDefault="00B72EA1" w:rsidP="007C594F">
      <w:pPr>
        <w:widowControl w:val="0"/>
      </w:pPr>
      <w:r w:rsidRPr="00EC14DE">
        <w:t>3) all’articolo 20, dopo il comma 2-bis, è aggiunto il seguente: “2-ter. Per l’attuazione dell’attività e dei servizi di comunicazione e dell’attività di valutazione d’impatto delle iniziative di cooperazione di cui al comma 2, è autorizzata, in favore del Ministero degli affari esteri e della cooperazione internazionale, la spesa di euro 1.000.000 annui a decorrere dall’anno 2022”;</w:t>
      </w:r>
    </w:p>
    <w:p w14:paraId="3262BCAB" w14:textId="77777777" w:rsidR="00B72EA1" w:rsidRPr="00EC14DE" w:rsidRDefault="00B72EA1" w:rsidP="007C594F">
      <w:pPr>
        <w:widowControl w:val="0"/>
      </w:pPr>
      <w:r w:rsidRPr="00EC14DE">
        <w:t>4) all’articolo 27, comma 3, lettera a), le parole da “miste” alla fine della lettera sono sostituite dalle seguenti: “in Paesi partner, con particolare riferimento alle piccole e medie imprese. Possono essere altresì concessi finanziamenti sotto qualsiasi forma direttamente a imprese in Paesi partner”;</w:t>
      </w:r>
    </w:p>
    <w:p w14:paraId="10ECA8E4" w14:textId="77777777" w:rsidR="00B72EA1" w:rsidRPr="00EC14DE" w:rsidRDefault="00B72EA1" w:rsidP="007C594F">
      <w:pPr>
        <w:widowControl w:val="0"/>
      </w:pPr>
      <w:r w:rsidRPr="00EC14DE">
        <w:t>5) all’articolo 27, comma 3, lettera b), le parole “, secondo modalità identificate dal CICS, imprese miste” sono sostituite dalle seguenti: “imprese anche aventi sede”;</w:t>
      </w:r>
    </w:p>
    <w:p w14:paraId="6217F237" w14:textId="77777777" w:rsidR="00B72EA1" w:rsidRPr="00EC14DE" w:rsidRDefault="00B72EA1" w:rsidP="007C594F">
      <w:pPr>
        <w:widowControl w:val="0"/>
      </w:pPr>
      <w:r w:rsidRPr="00EC14DE">
        <w:t>6) all’articolo 27, comma 3, lettera c), la parola “miste” è soppressa;</w:t>
      </w:r>
    </w:p>
    <w:p w14:paraId="4BB41B72" w14:textId="77777777" w:rsidR="00B72EA1" w:rsidRPr="00EC14DE" w:rsidRDefault="00B72EA1" w:rsidP="007C594F">
      <w:pPr>
        <w:widowControl w:val="0"/>
      </w:pPr>
      <w:r w:rsidRPr="00EC14DE">
        <w:t>7) all’articolo 27, comma 4, le parole: “Il CICS stabilisce” sono sostituite dalle seguenti: “Con decreto del Ministro degli affari esteri e della cooperazione internazionale, di concerto con il Ministro dell’economia e delle finanze, sono stabiliti”;</w:t>
      </w:r>
    </w:p>
    <w:p w14:paraId="578DBABB" w14:textId="77777777" w:rsidR="00B72EA1" w:rsidRPr="00EC14DE" w:rsidRDefault="00B72EA1" w:rsidP="007C594F">
      <w:pPr>
        <w:widowControl w:val="0"/>
      </w:pPr>
      <w:r w:rsidRPr="00EC14DE">
        <w:t>8) all’articolo 27, comma 5, la parola “crediti” è sostituita dalle seguenti: “finanziamenti sotto qualsiasi forma”;</w:t>
      </w:r>
    </w:p>
    <w:p w14:paraId="73417B5C" w14:textId="77777777" w:rsidR="00FA2254" w:rsidRPr="00EC14DE" w:rsidRDefault="00FA2254"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(Partecipazione italiana ad EXPO OSAKA 2025) </w:t>
      </w:r>
    </w:p>
    <w:p w14:paraId="32267A0D" w14:textId="77777777" w:rsidR="00FA2254" w:rsidRPr="00EC14DE" w:rsidRDefault="00FA2254" w:rsidP="007C594F">
      <w:pPr>
        <w:widowControl w:val="0"/>
        <w:rPr>
          <w:rFonts w:cs="Times New Roman"/>
        </w:rPr>
      </w:pPr>
      <w:r w:rsidRPr="00EC14DE">
        <w:rPr>
          <w:rFonts w:cs="Times New Roman"/>
        </w:rPr>
        <w:t xml:space="preserve">1. Per gli adempimenti connessi alla partecipazione italiana all'Expo 2025 Osaka, è autorizzata la spesa di </w:t>
      </w:r>
      <w:r w:rsidR="008D7362" w:rsidRPr="00EC14DE">
        <w:rPr>
          <w:rFonts w:cs="Times New Roman"/>
          <w:b/>
        </w:rPr>
        <w:t>2</w:t>
      </w:r>
      <w:r w:rsidR="008D7362" w:rsidRPr="00EC14DE">
        <w:rPr>
          <w:rFonts w:cs="Times New Roman"/>
        </w:rPr>
        <w:t xml:space="preserve"> </w:t>
      </w:r>
      <w:r w:rsidRPr="00EC14DE">
        <w:rPr>
          <w:rFonts w:cs="Times New Roman"/>
        </w:rPr>
        <w:t xml:space="preserve">milioni di euro per l'anno 2023, di 15 milioni di euro per l'anno 2024, </w:t>
      </w:r>
      <w:r w:rsidR="00B056FE" w:rsidRPr="00EC14DE">
        <w:rPr>
          <w:rFonts w:cs="Times New Roman"/>
        </w:rPr>
        <w:t xml:space="preserve">di </w:t>
      </w:r>
      <w:r w:rsidRPr="00EC14DE">
        <w:rPr>
          <w:rFonts w:cs="Times New Roman"/>
        </w:rPr>
        <w:t>25 milioni di euro per l’anno 2025 e di 3 milioni di euro per l’anno 2026. Ai fini del presente comma, si applica l’articolo 1, comma 587, della legge 30 dicembre 2018, n. 145, ad eccezione dei periodi primo e terzo, e i riferimenti ivi contenuti a Expo 2020 Dubai e agli Emirati Arabi Uniti si intendono rispettivamente fatti a Expo 2025 Osaka e al Giappone.</w:t>
      </w:r>
    </w:p>
    <w:p w14:paraId="0925017E" w14:textId="77777777" w:rsidR="00BC5341" w:rsidRPr="00EC14DE" w:rsidRDefault="00BC5341"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br/>
      </w:r>
      <w:r w:rsidR="005A212B" w:rsidRPr="00EC14DE">
        <w:rPr>
          <w:rFonts w:eastAsia="Times New Roman"/>
        </w:rPr>
        <w:t>(</w:t>
      </w:r>
      <w:r w:rsidR="005A212B" w:rsidRPr="00EC14DE">
        <w:rPr>
          <w:rFonts w:eastAsia="Times New Roman"/>
          <w:lang w:eastAsia="it-IT"/>
        </w:rPr>
        <w:t>Partecipazione dell’Italia</w:t>
      </w:r>
      <w:r w:rsidR="002040C1" w:rsidRPr="00EC14DE">
        <w:rPr>
          <w:rFonts w:eastAsia="Times New Roman"/>
          <w:lang w:eastAsia="it-IT"/>
        </w:rPr>
        <w:t xml:space="preserve"> al</w:t>
      </w:r>
      <w:r w:rsidR="00742ED2" w:rsidRPr="00EC14DE">
        <w:rPr>
          <w:rFonts w:eastAsia="Times New Roman"/>
          <w:lang w:eastAsia="it-IT"/>
        </w:rPr>
        <w:t xml:space="preserve"> Conto speciale CEDU e</w:t>
      </w:r>
      <w:r w:rsidR="005A212B" w:rsidRPr="00EC14DE">
        <w:rPr>
          <w:rFonts w:eastAsia="Times New Roman"/>
          <w:lang w:eastAsia="it-IT"/>
        </w:rPr>
        <w:t xml:space="preserve"> ai programmi del Fondo monetario internazionale</w:t>
      </w:r>
      <w:r w:rsidR="005A212B" w:rsidRPr="00EC14DE">
        <w:rPr>
          <w:rFonts w:eastAsia="Times New Roman"/>
        </w:rPr>
        <w:t>)</w:t>
      </w:r>
    </w:p>
    <w:p w14:paraId="6BB6FE29" w14:textId="77777777" w:rsidR="00742ED2" w:rsidRPr="00EC14DE" w:rsidRDefault="000C0705" w:rsidP="00742ED2">
      <w:pPr>
        <w:widowControl w:val="0"/>
      </w:pPr>
      <w:r w:rsidRPr="00EC14DE">
        <w:t>1. Per la concessione da parte dello Stato italiano di un contributo annuale da destinare al Conto speciale della Corte Eu</w:t>
      </w:r>
      <w:r w:rsidR="0065251D" w:rsidRPr="00EC14DE">
        <w:t>ropea dei Diritti dell’uomo, è</w:t>
      </w:r>
      <w:r w:rsidRPr="00EC14DE">
        <w:t xml:space="preserve"> autorizzata la spesa di euro 300.000 annui a decorrere dall’anno 2022.</w:t>
      </w:r>
    </w:p>
    <w:p w14:paraId="66415E5B" w14:textId="77777777" w:rsidR="003963EA" w:rsidRPr="00EC14DE" w:rsidRDefault="00742ED2" w:rsidP="007C594F">
      <w:pPr>
        <w:widowControl w:val="0"/>
      </w:pPr>
      <w:r w:rsidRPr="00EC14DE">
        <w:t>2</w:t>
      </w:r>
      <w:r w:rsidR="003963EA" w:rsidRPr="00EC14DE">
        <w:t>. Nel quadro della strategia di sostegno ai Paesi più poveri e di risposta internazionale alla crisi pandemica ed economica,  fermo restando  l'accordo  di  prestito  di  cui  all'articolo  13,   comma 6-sexies, del decreto-legge 30 dicembre 2016, n. 244, convertito, con modificazioni, dalla legge 27 febbraio 2017, n. 19, nonché l’accordo di prestito di cui all’articolo 1, comma 638, della legge 30 dicembre 2020, n. 178, la Banca d'Italia è autorizzata a concedere un nuovo prestito nei limiti di 1 miliardo di Diritti Speciali di Prelievo da erogare a tassi di mercato tr</w:t>
      </w:r>
      <w:r w:rsidR="00FF1D55" w:rsidRPr="00EC14DE">
        <w:t xml:space="preserve">amite il Poverty Reduction and </w:t>
      </w:r>
      <w:r w:rsidR="003963EA" w:rsidRPr="00EC14DE">
        <w:t>Growth Trust, secondo le modalità concordate tra il Fon</w:t>
      </w:r>
      <w:r w:rsidR="00FF1D55" w:rsidRPr="00EC14DE">
        <w:t xml:space="preserve">do monetario internazionale, </w:t>
      </w:r>
      <w:r w:rsidR="003963EA" w:rsidRPr="00EC14DE">
        <w:t>il Ministero dell'economia e delle finanze e la Banca d'Italia.</w:t>
      </w:r>
    </w:p>
    <w:p w14:paraId="74CDC5D0" w14:textId="77777777" w:rsidR="003963EA" w:rsidRPr="00EC14DE" w:rsidRDefault="00742ED2" w:rsidP="000C0705">
      <w:pPr>
        <w:widowControl w:val="0"/>
        <w:rPr>
          <w:strike/>
        </w:rPr>
      </w:pPr>
      <w:r w:rsidRPr="00EC14DE">
        <w:t>3</w:t>
      </w:r>
      <w:r w:rsidR="003963EA" w:rsidRPr="00EC14DE">
        <w:t>. Nell’ambito del nuovo accor</w:t>
      </w:r>
      <w:r w:rsidR="0066570B" w:rsidRPr="00EC14DE">
        <w:t>do di prestito di cui al comma 2</w:t>
      </w:r>
      <w:r w:rsidR="003963EA" w:rsidRPr="00EC14DE">
        <w:t xml:space="preserve">, per consentire il puntuale e efficace funzionamento del Poverty Reduction and Growth Trust, la Banca d’Italia è autorizzata a concedere risorse a titolo di dono al Fondo Monetario Internazionale nei limiti </w:t>
      </w:r>
      <w:r w:rsidR="002E0470" w:rsidRPr="00EC14DE">
        <w:rPr>
          <w:bCs/>
        </w:rPr>
        <w:t>complessivi</w:t>
      </w:r>
      <w:r w:rsidR="002E0470" w:rsidRPr="00EC14DE">
        <w:t xml:space="preserve"> di </w:t>
      </w:r>
      <w:r w:rsidR="002E0470" w:rsidRPr="00EC14DE">
        <w:rPr>
          <w:bCs/>
        </w:rPr>
        <w:t xml:space="preserve">101 milioni di euro, equivalenti a </w:t>
      </w:r>
      <w:r w:rsidR="002E0470" w:rsidRPr="00EC14DE">
        <w:t xml:space="preserve">83 milioni di Diritti Speciali di Prelievo, da ripartire in 5 versamenti annuali </w:t>
      </w:r>
      <w:r w:rsidR="002E0470" w:rsidRPr="00EC14DE">
        <w:rPr>
          <w:bCs/>
        </w:rPr>
        <w:t>di pari importo, da effettuarsi</w:t>
      </w:r>
      <w:r w:rsidR="002E0470" w:rsidRPr="00EC14DE">
        <w:t xml:space="preserve"> </w:t>
      </w:r>
      <w:r w:rsidR="002E0470" w:rsidRPr="00EC14DE">
        <w:rPr>
          <w:bCs/>
        </w:rPr>
        <w:t>in ciascun anno dal 2022 al 2026</w:t>
      </w:r>
      <w:r w:rsidR="003963EA" w:rsidRPr="00EC14DE">
        <w:t xml:space="preserve">. </w:t>
      </w:r>
      <w:r w:rsidR="000C0705" w:rsidRPr="00EC14DE">
        <w:t xml:space="preserve">In relazione a quanto previsto dal presente comma ed al fine di rispettare le vigenti disposizioni legislative nazionali ed europee, nello stato di previsione del Ministero dell’economia e delle finanze è istituito un apposito fondo con una dotazione di 20,2 milioni di euro annui per ciascuno degli anni dal 2022 al 2026, da corrispondere alla Banca d’Italia entro il mese di marzo di ciascun anno. </w:t>
      </w:r>
    </w:p>
    <w:p w14:paraId="152AA6F7" w14:textId="77777777" w:rsidR="006B754B" w:rsidRPr="00EC14DE" w:rsidRDefault="006B754B" w:rsidP="006B754B">
      <w:pPr>
        <w:pStyle w:val="wordsection1"/>
        <w:jc w:val="both"/>
        <w:rPr>
          <w:sz w:val="22"/>
        </w:rPr>
      </w:pPr>
      <w:r w:rsidRPr="00EC14DE">
        <w:rPr>
          <w:sz w:val="22"/>
        </w:rPr>
        <w:t xml:space="preserve">4. Sul prestito autorizzato dal </w:t>
      </w:r>
      <w:r w:rsidRPr="00EC14DE">
        <w:rPr>
          <w:bCs/>
          <w:sz w:val="22"/>
        </w:rPr>
        <w:t>comma 2</w:t>
      </w:r>
      <w:r w:rsidRPr="00EC14DE">
        <w:rPr>
          <w:sz w:val="22"/>
        </w:rPr>
        <w:t xml:space="preserve"> è accordata la garanzia dello Stato per il rimborso del capitale e per gli interessi maturati. Agli eventuali oneri derivanti dalla predetta garanzia si fa fronte mediante versamento all’entrata del bilancio dello Stato delle somme disponibili sulla contabilità speciale di cui all'articolo 8, comma 4, del decreto-legge 6 dicembre 2011, n. 201, convertito, con modificazioni, dalla legge 22 dicembre 2011, n. 214, e la successiva riassegnazione ai pertinenti capitoli dello stato di previsione del Ministero dell'economia e delle finanze. </w:t>
      </w:r>
    </w:p>
    <w:p w14:paraId="20540283" w14:textId="77777777" w:rsidR="006B754B" w:rsidRPr="00EC14DE" w:rsidRDefault="006B754B" w:rsidP="006B754B">
      <w:pPr>
        <w:pStyle w:val="wordsection1"/>
        <w:jc w:val="both"/>
        <w:rPr>
          <w:sz w:val="22"/>
        </w:rPr>
      </w:pPr>
      <w:r w:rsidRPr="00EC14DE">
        <w:rPr>
          <w:sz w:val="22"/>
        </w:rPr>
        <w:t>5.</w:t>
      </w:r>
      <w:r w:rsidRPr="00EC14DE">
        <w:rPr>
          <w:bCs/>
          <w:sz w:val="22"/>
        </w:rPr>
        <w:t xml:space="preserve"> </w:t>
      </w:r>
      <w:r w:rsidRPr="00EC14DE">
        <w:rPr>
          <w:sz w:val="22"/>
        </w:rPr>
        <w:t>Il Ministero de</w:t>
      </w:r>
      <w:r w:rsidR="00B04748" w:rsidRPr="00EC14DE">
        <w:rPr>
          <w:sz w:val="22"/>
        </w:rPr>
        <w:t xml:space="preserve">ll’Economia e delle Finanze </w:t>
      </w:r>
      <w:r w:rsidRPr="00EC14DE">
        <w:rPr>
          <w:sz w:val="22"/>
        </w:rPr>
        <w:t xml:space="preserve">è autorizzato a rimborsare alla Banca d’Italia, con valuta antergata al 29 giugno 2021, l’importo di 49 milioni di euro nell’anno 2022, equivalente all’importo di 40,46 milioni di Diritti Speciali di Prelievo versato dalla Banca d’Italia al Fondo Monetario Internazionale e utilizzato come contributo dell’Italia al programma del medesimo Fondo a favore del Sudan, conformemente alla decisione assunta dal Ministero stesso nell’ambito dell’Iniziativa sulla cancellazione del debito dei paesi più poveri fortemente indebitati (HIPC). </w:t>
      </w:r>
    </w:p>
    <w:p w14:paraId="51F11895" w14:textId="77777777" w:rsidR="0047067F" w:rsidRPr="00EC14DE" w:rsidRDefault="0051060B" w:rsidP="0047067F">
      <w:pPr>
        <w:pStyle w:val="Titolo3"/>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0047067F" w:rsidRPr="00EC14DE">
        <w:br/>
      </w:r>
      <w:r w:rsidR="00F968F0" w:rsidRPr="00EC14DE">
        <w:t>(</w:t>
      </w:r>
      <w:r w:rsidR="0047067F" w:rsidRPr="00EC14DE">
        <w:rPr>
          <w:rFonts w:eastAsia="Times New Roman"/>
        </w:rPr>
        <w:t>Fondo per gli assetti ad alta e altissima prontezza operativa)</w:t>
      </w:r>
    </w:p>
    <w:p w14:paraId="2948E06D" w14:textId="77777777" w:rsidR="0047067F" w:rsidRPr="00EC14DE" w:rsidRDefault="0047067F" w:rsidP="0047067F">
      <w:r w:rsidRPr="00EC14DE">
        <w:t>1. Al decreto legislativo 15 marzo 2010, n. 66, dopo l’articolo 620, è inserito il seguente:</w:t>
      </w:r>
    </w:p>
    <w:p w14:paraId="6BD67655" w14:textId="77777777" w:rsidR="0047067F" w:rsidRPr="00EC14DE" w:rsidRDefault="006D4F1F" w:rsidP="0047067F">
      <w:pPr>
        <w:jc w:val="center"/>
      </w:pPr>
      <w:r>
        <w:t>“</w:t>
      </w:r>
      <w:r w:rsidR="0047067F" w:rsidRPr="00EC14DE">
        <w:t>ART. 620-bis</w:t>
      </w:r>
    </w:p>
    <w:p w14:paraId="1D8698B0" w14:textId="77777777" w:rsidR="0047067F" w:rsidRPr="00EC14DE" w:rsidRDefault="0047067F" w:rsidP="0047067F">
      <w:pPr>
        <w:jc w:val="center"/>
      </w:pPr>
      <w:r w:rsidRPr="00EC14DE">
        <w:t>(Fondo per gli assetti ad alta e altissima prontezza operativa)</w:t>
      </w:r>
    </w:p>
    <w:p w14:paraId="4F9C4A83" w14:textId="77777777" w:rsidR="0047067F" w:rsidRPr="00EC14DE" w:rsidRDefault="0047067F" w:rsidP="0047067F">
      <w:r w:rsidRPr="00EC14DE">
        <w:t xml:space="preserve">1. Per assicurare il rispetto degli impegni assunti dall’Italia connessi con il mantenimento della pace e della sicurezza internazionali, nello stato di previsione del Ministero della difesa è istituito un fondo per finanziare l’approntamento e l’impiego degli assetti ad alta ed altissima prontezza operativa a ciò destinati. La dotazione iniziale del fondo di cui al precedente periodo è pari a </w:t>
      </w:r>
      <w:r w:rsidR="00C44F1A" w:rsidRPr="00EC14DE">
        <w:t>3 milioni di euro per l’anno 2022 e 6 milioni di euro annui a decorrere dall’anno 2023.</w:t>
      </w:r>
    </w:p>
    <w:p w14:paraId="39E374BB" w14:textId="77777777" w:rsidR="0047067F" w:rsidRPr="00EC14DE" w:rsidRDefault="00C44F1A" w:rsidP="0047067F">
      <w:r w:rsidRPr="00EC14DE">
        <w:t>2. Il fondo di cui al comma 1 è ripartito tra le diverse finalità di impiego con decreto del Ministro della difesa previa intesa con il Ministero dell’economia e delle finanze</w:t>
      </w:r>
      <w:r w:rsidR="006D4F1F">
        <w:t>.”.</w:t>
      </w:r>
    </w:p>
    <w:p w14:paraId="66020E69" w14:textId="77777777" w:rsidR="00D74E44" w:rsidRPr="00EC14DE" w:rsidRDefault="00D74E44" w:rsidP="000970C8">
      <w:pPr>
        <w:pStyle w:val="Titolo3"/>
      </w:pPr>
      <w:r w:rsidRPr="00EC14DE">
        <w:t xml:space="preserve">ART. </w:t>
      </w:r>
      <w:r w:rsidRPr="00EC14DE">
        <w:fldChar w:fldCharType="begin"/>
      </w:r>
      <w:r w:rsidRPr="00EC14DE">
        <w:instrText xml:space="preserve"> AUTONUM  \* Arabic </w:instrText>
      </w:r>
      <w:r w:rsidRPr="00EC14DE">
        <w:fldChar w:fldCharType="end"/>
      </w:r>
      <w:r w:rsidR="0061078E" w:rsidRPr="00EC14DE">
        <w:br/>
      </w:r>
      <w:r w:rsidRPr="00EC14DE">
        <w:t>(Incremento della dotazione del Fondo nazionale per le politiche e i servizi dell’asilo)</w:t>
      </w:r>
    </w:p>
    <w:p w14:paraId="77EFC23C" w14:textId="77777777" w:rsidR="00D74E44" w:rsidRPr="00EC14DE" w:rsidRDefault="0061078E" w:rsidP="0061078E">
      <w:pPr>
        <w:pStyle w:val="wordsection1"/>
        <w:contextualSpacing/>
        <w:jc w:val="both"/>
        <w:rPr>
          <w:sz w:val="22"/>
          <w:szCs w:val="22"/>
        </w:rPr>
      </w:pPr>
      <w:r w:rsidRPr="00EC14DE">
        <w:rPr>
          <w:sz w:val="22"/>
          <w:szCs w:val="22"/>
        </w:rPr>
        <w:t xml:space="preserve">1. </w:t>
      </w:r>
      <w:r w:rsidR="00D74E44" w:rsidRPr="00EC14DE">
        <w:rPr>
          <w:sz w:val="22"/>
          <w:szCs w:val="22"/>
        </w:rPr>
        <w:t>Per far fronte alle eccezionali esigenze di accoglienza dei richiedenti asilo, in conseguenza della crisi politica in atto in Afghanistan, al fine di consentire l’attivazione di ulteriori 2.000 posti nel Sistema di accoglienza e integrazione (SAI), la dotazione del Fondo nazionale per le politiche e per i servizi dell’asilo di cui all’articolo 1-</w:t>
      </w:r>
      <w:r w:rsidR="00D74E44" w:rsidRPr="00EC14DE">
        <w:rPr>
          <w:i/>
          <w:iCs/>
          <w:sz w:val="22"/>
          <w:szCs w:val="22"/>
        </w:rPr>
        <w:t>septies</w:t>
      </w:r>
      <w:r w:rsidR="00D74E44" w:rsidRPr="00EC14DE">
        <w:rPr>
          <w:sz w:val="22"/>
          <w:szCs w:val="22"/>
        </w:rPr>
        <w:t xml:space="preserve"> del decreto-legge 30 dicembre 1989, n. 416 convertito, con modificazioni, dalla legge 28 febbraio 1990, n. 39, e successive modificazioni, è incrementata di 29.981.100 euro per ciascuno degli anni 2022, 2023 e 2024. </w:t>
      </w:r>
    </w:p>
    <w:p w14:paraId="43FB6DCF" w14:textId="77777777" w:rsidR="00CA532D" w:rsidRPr="00EC14DE" w:rsidRDefault="00CA532D" w:rsidP="00A64598">
      <w:pPr>
        <w:pStyle w:val="Titolo3"/>
        <w:rPr>
          <w:bCs/>
        </w:rPr>
      </w:pPr>
      <w:r w:rsidRPr="00EC14DE">
        <w:rPr>
          <w:szCs w:val="22"/>
        </w:rPr>
        <w:t xml:space="preserve">ART. </w:t>
      </w:r>
      <w:r w:rsidRPr="00EC14DE">
        <w:rPr>
          <w:szCs w:val="22"/>
        </w:rPr>
        <w:fldChar w:fldCharType="begin"/>
      </w:r>
      <w:r w:rsidRPr="00EC14DE">
        <w:rPr>
          <w:szCs w:val="22"/>
        </w:rPr>
        <w:instrText xml:space="preserve"> AUTONUM  \* Arabic </w:instrText>
      </w:r>
      <w:r w:rsidRPr="00EC14DE">
        <w:rPr>
          <w:szCs w:val="22"/>
        </w:rPr>
        <w:fldChar w:fldCharType="end"/>
      </w:r>
      <w:r w:rsidRPr="00EC14DE">
        <w:br/>
        <w:t>(Partecipa</w:t>
      </w:r>
      <w:r w:rsidR="00EE0B60" w:rsidRPr="00EC14DE">
        <w:t>zione italiana al</w:t>
      </w:r>
      <w:r w:rsidRPr="00EC14DE">
        <w:t xml:space="preserve"> programma </w:t>
      </w:r>
      <w:r w:rsidRPr="00EC14DE">
        <w:rPr>
          <w:bCs/>
        </w:rPr>
        <w:t>ASI-ARTEMIS)</w:t>
      </w:r>
    </w:p>
    <w:p w14:paraId="1FB07B56" w14:textId="77777777" w:rsidR="00CA532D" w:rsidRPr="00EC14DE" w:rsidRDefault="00CA532D" w:rsidP="00CA532D">
      <w:pPr>
        <w:pStyle w:val="wordsection1"/>
        <w:jc w:val="both"/>
        <w:rPr>
          <w:sz w:val="22"/>
          <w:szCs w:val="22"/>
        </w:rPr>
      </w:pPr>
      <w:r w:rsidRPr="00EC14DE">
        <w:rPr>
          <w:b/>
          <w:sz w:val="22"/>
          <w:szCs w:val="22"/>
        </w:rPr>
        <w:t>1</w:t>
      </w:r>
      <w:r w:rsidRPr="00EC14DE">
        <w:rPr>
          <w:sz w:val="22"/>
          <w:szCs w:val="22"/>
        </w:rPr>
        <w:t>. Al fine di garantire la partecipazione italiana al programma spaziale ARTEMIS, è istituito nello stato di previsione della spesa del Ministero dell’economia e delle finanze, per il successivo trasferimento al bilancio autonomo della presidenza del consiglio dei ministri, un fondo con una dotazione di 80 milioni di euro per l’anno 2022, 30 milioni di euro per l’anno 2023 e 20 milioni di euro per l’anno 2024.</w:t>
      </w:r>
    </w:p>
    <w:p w14:paraId="5078639D" w14:textId="77777777" w:rsidR="00CA532D" w:rsidRPr="00EC14DE" w:rsidRDefault="00CA532D" w:rsidP="00CA532D">
      <w:pPr>
        <w:pStyle w:val="wordsection1"/>
        <w:jc w:val="both"/>
        <w:rPr>
          <w:sz w:val="22"/>
          <w:szCs w:val="22"/>
        </w:rPr>
      </w:pPr>
      <w:r w:rsidRPr="00EC14DE">
        <w:rPr>
          <w:sz w:val="22"/>
          <w:szCs w:val="22"/>
        </w:rPr>
        <w:t> </w:t>
      </w:r>
    </w:p>
    <w:p w14:paraId="359261EA" w14:textId="77777777" w:rsidR="00FF3662" w:rsidRPr="00EC14DE" w:rsidRDefault="00FF3662" w:rsidP="007C594F">
      <w:pPr>
        <w:pStyle w:val="Titolo1"/>
        <w:keepNext w:val="0"/>
        <w:keepLines w:val="0"/>
        <w:widowControl w:val="0"/>
      </w:pPr>
      <w:r w:rsidRPr="00EC14DE">
        <w:t xml:space="preserve">Titolo </w:t>
      </w:r>
      <w:r w:rsidR="00613D3E" w:rsidRPr="00EC14DE">
        <w:t>X</w:t>
      </w:r>
      <w:r w:rsidR="00613D3E" w:rsidRPr="00EC14DE">
        <w:br/>
      </w:r>
      <w:r w:rsidRPr="00EC14DE">
        <w:t xml:space="preserve">Misure </w:t>
      </w:r>
      <w:r w:rsidR="00BF3D4A" w:rsidRPr="00EC14DE">
        <w:t xml:space="preserve">in materia di </w:t>
      </w:r>
      <w:r w:rsidR="00350DBB" w:rsidRPr="00EC14DE">
        <w:t xml:space="preserve">infrastrutture e mobilità sostenibili, </w:t>
      </w:r>
      <w:r w:rsidR="00C354D6" w:rsidRPr="00EC14DE">
        <w:t>transizione ecologica, energia</w:t>
      </w:r>
      <w:r w:rsidR="00ED6460" w:rsidRPr="00EC14DE">
        <w:t xml:space="preserve"> </w:t>
      </w:r>
      <w:r w:rsidR="00B22E51" w:rsidRPr="00EC14DE">
        <w:t>e sisma</w:t>
      </w:r>
    </w:p>
    <w:p w14:paraId="4BC32CB7" w14:textId="77777777" w:rsidR="008535C8" w:rsidRPr="00EC14DE" w:rsidRDefault="008535C8" w:rsidP="008535C8">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w:t>
      </w:r>
      <w:r w:rsidR="00D750B2" w:rsidRPr="00EC14DE">
        <w:t>Istituzione del Fondo per la strategia di mobilità sostenibile per la lotta al cambiamento climatico e la riduzione delle emissioni</w:t>
      </w:r>
      <w:r w:rsidRPr="00EC14DE">
        <w:t>)</w:t>
      </w:r>
    </w:p>
    <w:p w14:paraId="1997591A" w14:textId="77777777" w:rsidR="00B66F94" w:rsidRPr="00EC14DE" w:rsidRDefault="00A121F3" w:rsidP="00A121F3">
      <w:pPr>
        <w:rPr>
          <w:rFonts w:cs="Times New Roman"/>
          <w:lang w:eastAsia="it-IT"/>
        </w:rPr>
      </w:pPr>
      <w:r w:rsidRPr="00EC14DE">
        <w:rPr>
          <w:rFonts w:cs="Times New Roman"/>
          <w:lang w:eastAsia="it-IT"/>
        </w:rPr>
        <w:t>1. Al fine di contribuire al raggiungimento degli obiettivi di cui al pacchetto di misure presentato dalla Commissione europea il 14 luglio 2021, con la finalità di ridurre, entro l’anno 2030, le emissioni nette di almeno il 55 per cento rispetto ai livelli registrati nell’anno 1990, sino al raggiungimento, da parte dell’Unione europea, di emissioni zero entro l’anno 2050, nello stato di previsione del Ministero delle infrastrutture e della mobilità sostenibili è istituito apposito Fondo denominato “Fondo per la strategia di mobilità sostenibile ”, con una dotazione di 50 milioni di euro per ciascuno degli anni dal 2023 al 2026, 150 milioni di euro per ciascuno degli anni 2027 e 2028, 200 milioni di euro per l’anno 2029, 300 milioni di euro per l’anno 2030 e 250 milioni di euro per ciascuno degli anni dal 2031 al 2034. Con decreto del Ministro delle infrastrutture e della mobilità sostenibili, di concerto con il Ministro dell’economia e delle finanze, sono definiti i criteri di riparto del Fondo e l’entità delle risorse destinate tra l’altro al rinnovo del parco autobus del trasporto pubblico locale, all’acquisto di treni ad idrogeno sulle linee ferroviarie non elettrificate, alla realizzazione di ciclovie urbane e turistiche, allo sviluppo del trasporto merci intermodale su ferro, all’adozione di carburanti alternativi per l’alimentazione di navi ed aerei e al rinnovo dei mezzi adibiti all’autotrasporto. Con uno o più decreti del Ministro delle infrastrutture e delle mobilità sostenibili, di concerto con il Ministro dell’economia e delle finanze, sono individuati, nei limiti delle risorse a tali fini destinate con il decreto interministeriale di cui al secondo periodo, gli interventi ammissibili a finanziamento e il relativo soggetto attuatore con indicazione dei codici unici di progetto, le modalità di monitoraggio, il cronoprogramma procedurale con i relativi obiettivi, determinati in coerenza con gli le risorse di cui al presente articolo, nonché le modalità di revoca in caso di mancata alimentazione dei sistemi di monitoraggio o di mancato rispetto dei termini previsti dal cronoprogramma procedurale. Le informazioni necessarie per l'attuazione degli interventi di cui al presente comma sono rilevate attraverso il sistema di monitoraggio di cui al decreto legislativo 29 dicembre 2011, n. 229, e i sistemi collegati. Il Ministero dell’economia e delle finanze è autorizzato ad apportare le occorrenti variazioni di bilancio.</w:t>
      </w:r>
    </w:p>
    <w:p w14:paraId="5E41EE25" w14:textId="77777777" w:rsidR="008535C8" w:rsidRPr="00EC14DE" w:rsidRDefault="008535C8" w:rsidP="008535C8">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(Metropolitane nelle grandi aree urbane)</w:t>
      </w:r>
    </w:p>
    <w:p w14:paraId="2259E805" w14:textId="77777777" w:rsidR="008535C8" w:rsidRPr="00443FE3" w:rsidRDefault="00441038" w:rsidP="00443FE3">
      <w:pPr>
        <w:pStyle w:val="wordsection1"/>
        <w:jc w:val="both"/>
        <w:rPr>
          <w:sz w:val="22"/>
          <w:szCs w:val="22"/>
        </w:rPr>
      </w:pPr>
      <w:r w:rsidRPr="00EC14DE">
        <w:rPr>
          <w:sz w:val="22"/>
          <w:szCs w:val="22"/>
        </w:rPr>
        <w:t xml:space="preserve">1.Al fine di promuovere la sostenibilità della mobilità urbana, anche mediante l’estensione della rete metropolitana e del trasporto rapido di massa, delle città di Genova, Milano, Napoli, Roma e Torino, ivi comprese le attività di progettazione e l’acquisto o il rinnovo del  materiale rotabile, è autorizzata la spesa di 50 milioni di euro </w:t>
      </w:r>
      <w:r w:rsidRPr="00EC14DE">
        <w:rPr>
          <w:bCs/>
          <w:sz w:val="22"/>
          <w:szCs w:val="22"/>
        </w:rPr>
        <w:t>per ciascuno degli anni 2022 e 2023,</w:t>
      </w:r>
      <w:r w:rsidRPr="00EC14DE">
        <w:rPr>
          <w:sz w:val="22"/>
          <w:szCs w:val="22"/>
        </w:rPr>
        <w:t xml:space="preserve"> 100 milioni di euro per l’anno </w:t>
      </w:r>
      <w:r w:rsidRPr="00EC14DE">
        <w:rPr>
          <w:bCs/>
          <w:sz w:val="22"/>
          <w:szCs w:val="22"/>
        </w:rPr>
        <w:t>2024,</w:t>
      </w:r>
      <w:r w:rsidRPr="00EC14DE">
        <w:rPr>
          <w:sz w:val="22"/>
          <w:szCs w:val="22"/>
        </w:rPr>
        <w:t xml:space="preserve"> 200 milioni di euro per il 2025, 250 milioni di euro </w:t>
      </w:r>
      <w:r w:rsidRPr="00EC14DE">
        <w:rPr>
          <w:bCs/>
          <w:sz w:val="22"/>
          <w:szCs w:val="22"/>
        </w:rPr>
        <w:t>per l’anno 2026</w:t>
      </w:r>
      <w:r w:rsidRPr="00EC14DE">
        <w:rPr>
          <w:sz w:val="22"/>
          <w:szCs w:val="22"/>
        </w:rPr>
        <w:t xml:space="preserve"> e 300 milioni di euro </w:t>
      </w:r>
      <w:r w:rsidRPr="00EC14DE">
        <w:rPr>
          <w:bCs/>
          <w:sz w:val="22"/>
          <w:szCs w:val="22"/>
        </w:rPr>
        <w:t>per l’anno 2027, 350 milioni di euro per l’anno 2028 e 300 milioni di euro</w:t>
      </w:r>
      <w:r w:rsidRPr="00EC14DE">
        <w:rPr>
          <w:sz w:val="22"/>
          <w:szCs w:val="22"/>
        </w:rPr>
        <w:t xml:space="preserve"> per ciascuno degli anni dal </w:t>
      </w:r>
      <w:r w:rsidR="0037666A" w:rsidRPr="00EC14DE">
        <w:rPr>
          <w:bCs/>
          <w:sz w:val="22"/>
          <w:szCs w:val="22"/>
        </w:rPr>
        <w:t>2029</w:t>
      </w:r>
      <w:r w:rsidR="0037666A" w:rsidRPr="00EC14DE">
        <w:rPr>
          <w:sz w:val="22"/>
          <w:szCs w:val="22"/>
        </w:rPr>
        <w:t xml:space="preserve"> </w:t>
      </w:r>
      <w:r w:rsidRPr="00EC14DE">
        <w:rPr>
          <w:bCs/>
          <w:sz w:val="22"/>
          <w:szCs w:val="22"/>
        </w:rPr>
        <w:t>al 2036</w:t>
      </w:r>
      <w:r w:rsidRPr="00EC14DE">
        <w:rPr>
          <w:sz w:val="22"/>
          <w:szCs w:val="22"/>
        </w:rPr>
        <w:t xml:space="preserve">. Con decreto del Ministro delle infrastrutture e della mobilità sostenibili di concerto con il Ministro dell’economia e delle finanze, da adottare entro il 28 febbraio 2022, sono definite le modalità di assegnazione delle risorse da destinare, in via prioritaria, alla predisposizione ovvero al completamento dell’attività di progettazione, </w:t>
      </w:r>
      <w:r w:rsidRPr="00EC14DE">
        <w:rPr>
          <w:bCs/>
          <w:sz w:val="22"/>
          <w:szCs w:val="22"/>
        </w:rPr>
        <w:t>e sono individuati gli interventi e</w:t>
      </w:r>
      <w:r w:rsidRPr="00EC14DE">
        <w:rPr>
          <w:sz w:val="22"/>
          <w:szCs w:val="22"/>
        </w:rPr>
        <w:t xml:space="preserve"> </w:t>
      </w:r>
      <w:r w:rsidRPr="00EC14DE">
        <w:rPr>
          <w:bCs/>
          <w:sz w:val="22"/>
          <w:szCs w:val="22"/>
        </w:rPr>
        <w:t>il soggetto attuatore, con indicazione dei codici unici di progetto, le modalità di monitoraggio, il cronoprogramma procedurale con i relativi obiettivi, determinati in coerenza con gli stanziamenti di cui al presente comma, nonché le modalità di revoca in caso di mancata alimentazione dei sistemi di monitoraggio o di mancato rispetto dei termini previsti dal cronoprogramma procedurale</w:t>
      </w:r>
      <w:r w:rsidRPr="00EC14DE">
        <w:rPr>
          <w:sz w:val="22"/>
          <w:szCs w:val="22"/>
        </w:rPr>
        <w:t xml:space="preserve">. </w:t>
      </w:r>
      <w:r w:rsidRPr="00EC14DE">
        <w:rPr>
          <w:bCs/>
          <w:sz w:val="22"/>
          <w:szCs w:val="22"/>
        </w:rPr>
        <w:t>Le informazioni necessarie per l'attuazione degli interventi di cui al presente comma sono rilevate attraverso il sistema di monitoraggio di cui al decreto legislativo 29 dicembre 2011, n. 229, e i sistemi collegati.</w:t>
      </w:r>
    </w:p>
    <w:p w14:paraId="6E26D4D7" w14:textId="77777777" w:rsidR="008535C8" w:rsidRPr="00EC14DE" w:rsidRDefault="008535C8" w:rsidP="008535C8">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(Alta velocità e alta capacità della linea ferroviaria Adriatica)</w:t>
      </w:r>
    </w:p>
    <w:p w14:paraId="62C031D1" w14:textId="77777777" w:rsidR="00DD0D04" w:rsidRPr="00EC14DE" w:rsidRDefault="00C35739" w:rsidP="00DD0D04">
      <w:pPr>
        <w:rPr>
          <w:rFonts w:cs="Times New Roman"/>
        </w:rPr>
      </w:pPr>
      <w:r w:rsidRPr="00EC14DE">
        <w:rPr>
          <w:rFonts w:cs="Times New Roman"/>
        </w:rPr>
        <w:t xml:space="preserve">1. </w:t>
      </w:r>
      <w:r w:rsidR="00DD0D04" w:rsidRPr="00EC14DE">
        <w:rPr>
          <w:rFonts w:cs="Times New Roman"/>
        </w:rPr>
        <w:t>Per l’accelerazione degli interventi finalizzati alla promozione del trasporto con caratteristiche di A/V e A/C sulla linea ferroviaria adriatica, anche al fine dell'inserimento nella rete core Ten-T, è autorizzata, in favore di Rete Ferroviaria Italiana SpA, la spesa complessiva di 5.000 milioni di euro, di cui 50 milioni di euro per ciascuno degli anni 2022 e 2023,  150 milioni di euro per l’anno 2024, 200 milioni di euro per l’anno 2025,  250 milioni di euro per ciascuno degli anni dal 2026 al 2027, 400 milioni di euro per ciascuno degli anni dal 2028 al 2030, 450 milioni di euro per l’anno 2031, 650 milioni di euro per ciascuno degli anni dal 2032 al 2034, 450 milioni di euro per l’anno 2035. Le risorse di cui al presente articolo sono immediatamente disponibili, ai fini dell'assunzione di impegni giuridicamente vincolanti, alla data di entrata in vigore della presente disposizione.</w:t>
      </w:r>
    </w:p>
    <w:p w14:paraId="0244068E" w14:textId="77777777" w:rsidR="008535C8" w:rsidRPr="00EC14DE" w:rsidRDefault="008535C8" w:rsidP="000970C8">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w:t>
      </w:r>
      <w:r w:rsidR="00370A7D" w:rsidRPr="00EC14DE">
        <w:t>C</w:t>
      </w:r>
      <w:r w:rsidRPr="00EC14DE">
        <w:t>ontratto di programma RFI)</w:t>
      </w:r>
    </w:p>
    <w:p w14:paraId="06BC3115" w14:textId="77777777" w:rsidR="008535C8" w:rsidRPr="00EC14DE" w:rsidRDefault="001232A9" w:rsidP="001232A9">
      <w:pPr>
        <w:rPr>
          <w:rFonts w:cs="Times New Roman"/>
        </w:rPr>
      </w:pPr>
      <w:r w:rsidRPr="00EC14DE">
        <w:rPr>
          <w:rFonts w:cs="Times New Roman"/>
        </w:rPr>
        <w:t xml:space="preserve">1. </w:t>
      </w:r>
      <w:r w:rsidR="008535C8" w:rsidRPr="00EC14DE">
        <w:rPr>
          <w:rFonts w:cs="Times New Roman"/>
        </w:rPr>
        <w:t>È autorizzata la spesa di 250 milioni di euro per l’anno 2025, di 300 milioni di euro per l’anno 2026, 500 milioni di euro per ciascuno degli anni dal 2027 al 2032 e 550 milioni di euro per ciascuno degli anni dal 2033 al 2036 per il finanziamento del contratto di programma RFI, parte investimenti 2022-2026.</w:t>
      </w:r>
    </w:p>
    <w:p w14:paraId="7CB3AEA5" w14:textId="77777777" w:rsidR="001232A9" w:rsidRPr="00EC14DE" w:rsidRDefault="001232A9" w:rsidP="001232A9">
      <w:pPr>
        <w:rPr>
          <w:rFonts w:cs="Times New Roman"/>
        </w:rPr>
      </w:pPr>
      <w:r w:rsidRPr="00EC14DE">
        <w:rPr>
          <w:rFonts w:cs="Times New Roman"/>
        </w:rPr>
        <w:t>2. È autorizzata la spesa di 500 milioni di euro per l’anno 2022, 1.000 milioni di euro per ciascuno degli anni 2023, 2024, 2025, 2026 e di 600 milioni di euro per l’anno 2027 per il finanziamento del contratto di programma RFI, parte servizi 2022-2027.</w:t>
      </w:r>
    </w:p>
    <w:p w14:paraId="143FF3BC" w14:textId="77777777" w:rsidR="008535C8" w:rsidRPr="00EC14DE" w:rsidRDefault="008535C8" w:rsidP="008535C8">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(Contratto di programma ANAS)</w:t>
      </w:r>
    </w:p>
    <w:p w14:paraId="74762AF7" w14:textId="77777777" w:rsidR="00073AE2" w:rsidRPr="00EC14DE" w:rsidRDefault="00073AE2" w:rsidP="00073AE2">
      <w:pPr>
        <w:pStyle w:val="wordsection1"/>
        <w:jc w:val="both"/>
        <w:rPr>
          <w:sz w:val="22"/>
          <w:szCs w:val="22"/>
        </w:rPr>
      </w:pPr>
      <w:r w:rsidRPr="00EC14DE">
        <w:rPr>
          <w:sz w:val="22"/>
          <w:szCs w:val="22"/>
        </w:rPr>
        <w:t xml:space="preserve">1. È autorizzata la spesa di </w:t>
      </w:r>
      <w:r w:rsidRPr="00EC14DE">
        <w:rPr>
          <w:bCs/>
          <w:sz w:val="22"/>
          <w:szCs w:val="22"/>
        </w:rPr>
        <w:t>100 milioni di euro per ciascuno degli anni 2023</w:t>
      </w:r>
      <w:r w:rsidR="00D56052" w:rsidRPr="00EC14DE">
        <w:rPr>
          <w:bCs/>
          <w:sz w:val="22"/>
          <w:szCs w:val="22"/>
        </w:rPr>
        <w:t xml:space="preserve"> e 2024</w:t>
      </w:r>
      <w:r w:rsidRPr="00EC14DE">
        <w:rPr>
          <w:bCs/>
          <w:sz w:val="22"/>
          <w:szCs w:val="22"/>
        </w:rPr>
        <w:t xml:space="preserve">, </w:t>
      </w:r>
      <w:r w:rsidRPr="00EC14DE">
        <w:rPr>
          <w:sz w:val="22"/>
          <w:szCs w:val="22"/>
        </w:rPr>
        <w:t xml:space="preserve">250 milioni di euro per l’anno 2025, di 300 milioni di euro per </w:t>
      </w:r>
      <w:r w:rsidRPr="00EC14DE">
        <w:rPr>
          <w:bCs/>
          <w:sz w:val="22"/>
          <w:szCs w:val="22"/>
        </w:rPr>
        <w:t>ciascuno degli anni dal</w:t>
      </w:r>
      <w:r w:rsidRPr="00EC14DE">
        <w:rPr>
          <w:sz w:val="22"/>
          <w:szCs w:val="22"/>
        </w:rPr>
        <w:t xml:space="preserve"> 2026 </w:t>
      </w:r>
      <w:r w:rsidRPr="00EC14DE">
        <w:rPr>
          <w:bCs/>
          <w:sz w:val="22"/>
          <w:szCs w:val="22"/>
        </w:rPr>
        <w:t>al 2028,</w:t>
      </w:r>
      <w:r w:rsidRPr="00EC14DE">
        <w:rPr>
          <w:sz w:val="22"/>
          <w:szCs w:val="22"/>
        </w:rPr>
        <w:t xml:space="preserve"> e di 400 milioni di euro per ciascuno degli anni dal </w:t>
      </w:r>
      <w:r w:rsidRPr="00EC14DE">
        <w:rPr>
          <w:bCs/>
          <w:sz w:val="22"/>
          <w:szCs w:val="22"/>
        </w:rPr>
        <w:t>2029</w:t>
      </w:r>
      <w:r w:rsidRPr="00EC14DE">
        <w:rPr>
          <w:sz w:val="22"/>
          <w:szCs w:val="22"/>
        </w:rPr>
        <w:t xml:space="preserve"> al 2036 per il finanziamento del contratto di programma ANAS</w:t>
      </w:r>
      <w:r w:rsidRPr="00A9053B">
        <w:rPr>
          <w:bCs/>
          <w:sz w:val="22"/>
          <w:szCs w:val="22"/>
        </w:rPr>
        <w:t xml:space="preserve"> </w:t>
      </w:r>
      <w:r w:rsidRPr="00EC14DE">
        <w:rPr>
          <w:bCs/>
          <w:sz w:val="22"/>
          <w:szCs w:val="22"/>
        </w:rPr>
        <w:t>2021-2025.</w:t>
      </w:r>
    </w:p>
    <w:p w14:paraId="745B445B" w14:textId="77777777" w:rsidR="001E7C1C" w:rsidRPr="00EC14DE" w:rsidRDefault="001E7C1C" w:rsidP="001E7C1C">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(Incremento del Fondo per la revisione dei prezzi dei materiali nei contratti pubblici)</w:t>
      </w:r>
    </w:p>
    <w:p w14:paraId="6C5A565C" w14:textId="77777777" w:rsidR="001E7C1C" w:rsidRPr="00EC14DE" w:rsidRDefault="001E7C1C" w:rsidP="001E7C1C">
      <w:pPr>
        <w:pStyle w:val="provvr0"/>
        <w:spacing w:before="0" w:beforeAutospacing="0" w:after="0" w:afterAutospacing="0"/>
        <w:rPr>
          <w:sz w:val="22"/>
          <w:szCs w:val="22"/>
        </w:rPr>
      </w:pPr>
      <w:r w:rsidRPr="00EC14DE">
        <w:rPr>
          <w:sz w:val="22"/>
          <w:szCs w:val="22"/>
        </w:rPr>
        <w:t>1.All'articolo 1-</w:t>
      </w:r>
      <w:r w:rsidRPr="00EC14DE">
        <w:rPr>
          <w:i/>
          <w:iCs/>
          <w:sz w:val="22"/>
          <w:szCs w:val="22"/>
        </w:rPr>
        <w:t>septies</w:t>
      </w:r>
      <w:r w:rsidRPr="00EC14DE">
        <w:rPr>
          <w:sz w:val="22"/>
          <w:szCs w:val="22"/>
        </w:rPr>
        <w:t>, del decreto-legge 25 maggio 2021, n. 73, convertito, con modificazioni, dalla legge 23 luglio 2021, n. 106, sono apportate le seguenti modificazioni:</w:t>
      </w:r>
    </w:p>
    <w:p w14:paraId="60AFF8A3" w14:textId="77777777" w:rsidR="001E7C1C" w:rsidRPr="00EC14DE" w:rsidRDefault="001E7C1C" w:rsidP="000831E3">
      <w:pPr>
        <w:pStyle w:val="provvr0"/>
        <w:numPr>
          <w:ilvl w:val="0"/>
          <w:numId w:val="58"/>
        </w:numPr>
        <w:spacing w:before="0" w:beforeAutospacing="0" w:after="0" w:afterAutospacing="0"/>
        <w:ind w:left="284" w:firstLine="0"/>
        <w:rPr>
          <w:sz w:val="22"/>
          <w:szCs w:val="22"/>
        </w:rPr>
      </w:pPr>
      <w:r w:rsidRPr="00EC14DE">
        <w:rPr>
          <w:sz w:val="22"/>
          <w:szCs w:val="22"/>
        </w:rPr>
        <w:t xml:space="preserve">al comma 1, sostituire le parole: </w:t>
      </w:r>
      <w:bookmarkStart w:id="110" w:name="_Hlk83311346"/>
      <w:r w:rsidRPr="00EC14DE">
        <w:rPr>
          <w:sz w:val="22"/>
          <w:szCs w:val="22"/>
        </w:rPr>
        <w:t>“di alcuni materiali da costruzione verificatisi nel primo semestre dell’anno 2021</w:t>
      </w:r>
      <w:bookmarkEnd w:id="110"/>
      <w:r w:rsidRPr="00EC14DE">
        <w:rPr>
          <w:sz w:val="22"/>
          <w:szCs w:val="22"/>
        </w:rPr>
        <w:t>” con le seguenti: “di alcuni materiali da costruzione verificatisi nell’anno 2021” e sostituire le parole: “entro il 31 ottobre 2021, con proprio decreto, le variazioni percentuali, in aumento o in diminuzione, superiori all’8 per cento, verificatesi nel primo semestre dell’anno 2021” con le seguenti: “entro il 31 ottobre 2021 e il 31 marzo 2022, con proprio decreto, le variazioni percentuali, in aumento o in diminuzione, superiori all’8 per cento, verificatesi rispettivamente nel primo e nel secondo semestre dell’anno 2021”;</w:t>
      </w:r>
    </w:p>
    <w:p w14:paraId="59E270BC" w14:textId="77777777" w:rsidR="001E7C1C" w:rsidRPr="00EC14DE" w:rsidRDefault="001E7C1C" w:rsidP="000831E3">
      <w:pPr>
        <w:pStyle w:val="provvr0"/>
        <w:numPr>
          <w:ilvl w:val="0"/>
          <w:numId w:val="58"/>
        </w:numPr>
        <w:spacing w:before="0" w:beforeAutospacing="0" w:after="0" w:afterAutospacing="0"/>
        <w:ind w:left="284" w:firstLine="0"/>
        <w:rPr>
          <w:sz w:val="22"/>
          <w:szCs w:val="22"/>
        </w:rPr>
      </w:pPr>
      <w:r w:rsidRPr="00EC14DE">
        <w:rPr>
          <w:sz w:val="22"/>
          <w:szCs w:val="22"/>
        </w:rPr>
        <w:t>al comma 3 sostituire le parole: “30 giugno” con le seguenti: “31 dicembre”;</w:t>
      </w:r>
    </w:p>
    <w:p w14:paraId="5F0BCF3C" w14:textId="77777777" w:rsidR="001E7C1C" w:rsidRPr="00EC14DE" w:rsidRDefault="001E7C1C" w:rsidP="000831E3">
      <w:pPr>
        <w:pStyle w:val="provvr0"/>
        <w:numPr>
          <w:ilvl w:val="0"/>
          <w:numId w:val="58"/>
        </w:numPr>
        <w:spacing w:before="0" w:beforeAutospacing="0" w:after="0" w:afterAutospacing="0"/>
        <w:ind w:left="284" w:firstLine="0"/>
        <w:rPr>
          <w:sz w:val="22"/>
          <w:szCs w:val="22"/>
        </w:rPr>
      </w:pPr>
      <w:r w:rsidRPr="00EC14DE">
        <w:rPr>
          <w:sz w:val="22"/>
          <w:szCs w:val="22"/>
        </w:rPr>
        <w:t>al comma 4, primo periodo, sostituire le parole: “del decreto di cui al comma 1” con le seguenti: “dei decreti di cui al comma 1”;</w:t>
      </w:r>
    </w:p>
    <w:p w14:paraId="631A2310" w14:textId="77777777" w:rsidR="001E7C1C" w:rsidRPr="00EC14DE" w:rsidRDefault="001E7C1C" w:rsidP="001E7C1C">
      <w:pPr>
        <w:pStyle w:val="provvr0"/>
        <w:spacing w:before="0" w:beforeAutospacing="0" w:after="0" w:afterAutospacing="0"/>
        <w:rPr>
          <w:sz w:val="22"/>
          <w:szCs w:val="22"/>
        </w:rPr>
      </w:pPr>
      <w:r w:rsidRPr="00EC14DE">
        <w:rPr>
          <w:sz w:val="22"/>
          <w:szCs w:val="22"/>
        </w:rPr>
        <w:t>2. Per le finalità di cui al comma 1 è autorizzata la spesa di 100 milioni di euro per il 2022.</w:t>
      </w:r>
    </w:p>
    <w:p w14:paraId="7CBFF6B9" w14:textId="77777777" w:rsidR="008535C8" w:rsidRPr="00EC14DE" w:rsidRDefault="008535C8" w:rsidP="008535C8">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 xml:space="preserve">(Disposizioni urgenti in materia di infrastrutture stradali) </w:t>
      </w:r>
    </w:p>
    <w:p w14:paraId="6B691635" w14:textId="77777777" w:rsidR="008535C8" w:rsidRPr="00EC14DE" w:rsidRDefault="008535C8" w:rsidP="008535C8">
      <w:pPr>
        <w:rPr>
          <w:rFonts w:cs="Times New Roman"/>
        </w:rPr>
      </w:pPr>
      <w:r w:rsidRPr="00EC14DE">
        <w:rPr>
          <w:rFonts w:cs="Times New Roman"/>
        </w:rPr>
        <w:t xml:space="preserve">1. Per le finalità di cui all’articolo 35, comma 1- ter, terzo periodo, del decreto – legge 30 dicembre 2019, n. 162, convertito, con modificazioni, dalla legge 28 febbraio 2020, n. 8, è autorizzata la spesa di 200 milioni di euro, in ragione di 40 milioni di euro per ciascuno degli anni dal 2022 al 2026, quale contributo massimo a favore di Società Autostrada tirrenica Spa, al fine di assicurare il riequilibrio delle condizioni economico finanziarie della concessione. </w:t>
      </w:r>
    </w:p>
    <w:p w14:paraId="3985EAF6" w14:textId="77777777" w:rsidR="008535C8" w:rsidRPr="00EC14DE" w:rsidRDefault="008535C8" w:rsidP="008535C8">
      <w:pPr>
        <w:rPr>
          <w:rFonts w:cs="Times New Roman"/>
        </w:rPr>
      </w:pPr>
      <w:r w:rsidRPr="00EC14DE">
        <w:rPr>
          <w:rFonts w:cs="Times New Roman"/>
        </w:rPr>
        <w:t>2.  La misura del contributo, da includere nel Piano economico finanziario della società concessionaria, è determinata, nel limite dello stanziamento di cui al comma 1, previa verifica da parte del Ministero delle infrastrutture e delle mobilità sostenibili del raggiungimento delle condizioni di equilibrio e sostenibilità tariffaria della concessione. Il Piano economico finanziario di cui al primo periodo è predisposto da Società Autostrada tirrenica Spa,  entro 30 giorni  dall’entrata in vigore della presente legge, in conformità alla disciplina regolatoria definita dall'Autorità di regolazione dei trasporti di cui all'articolo 37 del decreto legge 6 dicembre 2011, n. 201, convertito con modificazioni dalla legge 22 dicembre 2011, n. 214, e al livello di congrua remunerazione del capitale investito definito dalla medesima Autorità  in relazione al contributo pubblico previsto dal presente articolo e al correlato profilo di rischio.</w:t>
      </w:r>
    </w:p>
    <w:p w14:paraId="6193B502" w14:textId="77777777" w:rsidR="008535C8" w:rsidRPr="00EC14DE" w:rsidRDefault="008535C8" w:rsidP="008535C8">
      <w:pPr>
        <w:rPr>
          <w:rFonts w:cs="Times New Roman"/>
        </w:rPr>
      </w:pPr>
      <w:r w:rsidRPr="00EC14DE">
        <w:rPr>
          <w:rFonts w:cs="Times New Roman"/>
        </w:rPr>
        <w:t>3. L’erogazione del contributo è subordinata al perfezionamento della procedura di approvazione degli atti convenzionali di cui all’articolo 43, comma 1 del decreto legge 6 dicembre 2011, n. 201, convertito con modificazioni dalla legge 22 dicembre 2011, n. 214, nonché alla rinuncia da parte di Società Autostrada tirrenica Spa di tutti i giudizi pendenti nei confronti delle amministrazioni pubbliche relativi al rapporto concessorio. </w:t>
      </w:r>
    </w:p>
    <w:p w14:paraId="7A93FF2A" w14:textId="77777777" w:rsidR="001E7C1C" w:rsidRPr="00EC14DE" w:rsidRDefault="001E7C1C" w:rsidP="001E7C1C">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(Disposizioni urgenti in materia di infrastrutture autostradali regionali) </w:t>
      </w:r>
    </w:p>
    <w:p w14:paraId="1AB0EE9D" w14:textId="77777777" w:rsidR="001E7C1C" w:rsidRPr="00EC14DE" w:rsidRDefault="001E7C1C" w:rsidP="001E7C1C">
      <w:pPr>
        <w:pStyle w:val="wordsection1"/>
        <w:jc w:val="both"/>
        <w:rPr>
          <w:sz w:val="22"/>
          <w:szCs w:val="22"/>
        </w:rPr>
      </w:pPr>
      <w:r w:rsidRPr="00EC14DE">
        <w:rPr>
          <w:sz w:val="22"/>
          <w:szCs w:val="22"/>
        </w:rPr>
        <w:t xml:space="preserve">1. Per la realizzazione dell'autostrada regionale Cispadana è autorizzata la spesa di 200 milioni di euro, in ragione di 10 milioni di euro per ciascuno degli anni 2022 e 2023, 20 milioni di euro per l’anno 2024, 40 milioni di euro per l’anno 2025, 50 milioni di euro per l’anno 2026 e 70 milioni di euro per l’anno 2027, quale contributo massimo a favore della regione Emilia-Romagna. </w:t>
      </w:r>
    </w:p>
    <w:p w14:paraId="10BEB65C" w14:textId="77777777" w:rsidR="001E7C1C" w:rsidRPr="00EC14DE" w:rsidRDefault="001E7C1C" w:rsidP="001E7C1C">
      <w:pPr>
        <w:widowControl w:val="0"/>
      </w:pPr>
      <w:r w:rsidRPr="00EC14DE">
        <w:t>2.  L’erogazione del contributo, da includere nel Piano economico finanziario della società concessionaria Autostrada Regionale Cispadana Spa, è subordinata al perfezionamento della procedura di approvazione dell’aggiornamento degli atti convenzionali, previa attestazione da parte di un primario istituto finanziario delle condizioni di bancabilità del progetto e di sostenibilità economico-finanziaria della concessione.</w:t>
      </w:r>
    </w:p>
    <w:p w14:paraId="7F66992C" w14:textId="77777777" w:rsidR="00CB0F03" w:rsidRPr="00EC14DE" w:rsidRDefault="00984E5D" w:rsidP="007C594F">
      <w:pPr>
        <w:pStyle w:val="Titolo3"/>
        <w:keepNext w:val="0"/>
        <w:keepLines w:val="0"/>
        <w:widowControl w:val="0"/>
        <w:rPr>
          <w:szCs w:val="22"/>
        </w:rPr>
      </w:pPr>
      <w:r w:rsidRPr="00EC14DE">
        <w:rPr>
          <w:szCs w:val="22"/>
        </w:rPr>
        <w:t xml:space="preserve">ART. </w:t>
      </w:r>
      <w:r w:rsidRPr="00EC14DE">
        <w:rPr>
          <w:szCs w:val="22"/>
        </w:rPr>
        <w:fldChar w:fldCharType="begin"/>
      </w:r>
      <w:r w:rsidRPr="00EC14DE">
        <w:rPr>
          <w:szCs w:val="22"/>
        </w:rPr>
        <w:instrText xml:space="preserve"> AUTONUM  \* Arabic </w:instrText>
      </w:r>
      <w:r w:rsidRPr="00EC14DE">
        <w:rPr>
          <w:szCs w:val="22"/>
        </w:rPr>
        <w:fldChar w:fldCharType="end"/>
      </w:r>
      <w:r w:rsidR="00CB0F03" w:rsidRPr="00EC14DE">
        <w:rPr>
          <w:szCs w:val="22"/>
        </w:rPr>
        <w:br/>
        <w:t>(Infrastrutture stradali sostenibili delle regioni, delle province e delle città metropolitane)</w:t>
      </w:r>
    </w:p>
    <w:p w14:paraId="1E0F1E34" w14:textId="77777777" w:rsidR="00AF6E13" w:rsidRPr="00EC14DE" w:rsidRDefault="00AF6E13" w:rsidP="00AF6E13">
      <w:pPr>
        <w:pStyle w:val="wordsection1"/>
        <w:widowControl w:val="0"/>
        <w:jc w:val="both"/>
        <w:rPr>
          <w:sz w:val="22"/>
          <w:szCs w:val="22"/>
        </w:rPr>
      </w:pPr>
      <w:r w:rsidRPr="00EC14DE">
        <w:rPr>
          <w:sz w:val="22"/>
          <w:szCs w:val="22"/>
        </w:rPr>
        <w:t>1. Per il finanziamento degli interventi relativi a programmi straordinari di manutenzione straordinaria ed adeguamento funzionale e resilienza ai cambiamenti climatici della viabilità stradale, anche con riferimento a varianti di percorso, di competenza di regioni, province e città metropolitane, è autorizzata la spesa di 100 milioni di euro per l’anno 2022, 150 milioni di euro per l’anno 2023, 200 milioni di euro per ciascuno degli anni 2024 e 2025, 300 milioni di euro per ciascuno degli anni dal 2026 al 2030 e 200 milioni per ciascuno degli anni</w:t>
      </w:r>
      <w:r w:rsidR="009F5ACF">
        <w:rPr>
          <w:sz w:val="22"/>
          <w:szCs w:val="22"/>
        </w:rPr>
        <w:t xml:space="preserve"> dal 2031 al </w:t>
      </w:r>
      <w:r w:rsidRPr="00EC14DE">
        <w:rPr>
          <w:sz w:val="22"/>
          <w:szCs w:val="22"/>
        </w:rPr>
        <w:t>2036.</w:t>
      </w:r>
    </w:p>
    <w:p w14:paraId="4506760D" w14:textId="77777777" w:rsidR="00AF6E13" w:rsidRPr="00EC14DE" w:rsidRDefault="00AF6E13" w:rsidP="00AF6E13">
      <w:pPr>
        <w:pStyle w:val="wordsection1"/>
        <w:widowControl w:val="0"/>
        <w:jc w:val="both"/>
        <w:rPr>
          <w:sz w:val="22"/>
          <w:szCs w:val="22"/>
        </w:rPr>
      </w:pPr>
      <w:r w:rsidRPr="00EC14DE">
        <w:rPr>
          <w:sz w:val="22"/>
          <w:szCs w:val="22"/>
        </w:rPr>
        <w:t>2. Con decreto del Ministro delle infrastrutture e della mobilità sostenibili di concerto con il Ministro dell’economia e delle finanze, da emanare entro il 28 febbraio 2022, previa intesa in sede di Conferenza unificata di cui all'articolo 8 del decreto legislativo 28 agosto 1997, n. 281, sono definiti i criteri e le modalità per l'assegnazione delle risorse di cui al comma 1, anche sulla base della consistenza della rete viaria e della vulnerabilità rispetto a fenomeni antropici, quali traffico ed incidentalità, e naturali, quali sisma e dissesto idrogeologico; con il medesimo decreto sono altresì definite le modalità di approvazione dei piani predisposti dalle regioni, province e città metropolitane, di monitoraggio degli interventi, ai sensi del decreto legislativo 29 dicembre 2011, n. 229, nonché le procedure di revoca delle risorse in caso di mancato rispetto del cronoprogramma procedurale o di mancata alimentazione dei sistemi di monitoraggio. Con lo stesso decreto sono inoltre definiti i criteri generali per adeguare la progettazione e l’esecuzione di tali opere ai principi ambientali comunitari.</w:t>
      </w:r>
    </w:p>
    <w:p w14:paraId="23EB9D4D" w14:textId="77777777" w:rsidR="00447F60" w:rsidRPr="00EC14DE" w:rsidRDefault="00447F60" w:rsidP="0030430E">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(Messa in sicurezza strade)</w:t>
      </w:r>
    </w:p>
    <w:p w14:paraId="20FE5EE1" w14:textId="77777777" w:rsidR="00BD34A6" w:rsidRPr="00EC14DE" w:rsidRDefault="00BD34A6" w:rsidP="00BD34A6">
      <w:pPr>
        <w:pStyle w:val="wordsection1"/>
        <w:jc w:val="both"/>
        <w:rPr>
          <w:sz w:val="22"/>
          <w:szCs w:val="22"/>
        </w:rPr>
      </w:pPr>
      <w:r w:rsidRPr="00EC14DE">
        <w:rPr>
          <w:sz w:val="22"/>
          <w:szCs w:val="22"/>
        </w:rPr>
        <w:t xml:space="preserve">1. Per gli anni 2022 e 2023, sono assegnati ai comuni contributi per investimenti finalizzati alla manutenzione straordinaria delle strade comunali, dei marciapiedi e dell’arredo urbano, nel limite complessivo di 200 milioni di euro per l’anno 2022 e 100 milioni di euro per l’anno 2023. I contributi di cui al periodo precedente per l’anno 2022 sono assegnati, entro il 15 gennaio 2022, con decreto del Ministero dell'interno, ai comuni con popolazione inferiore o uguale ai 5.000 abitanti nella misura di 10.000 euro ciascuno, ai comuni con popolazione tra 5.001 e 10.000 abitanti nella misura di 25.000 euro ciascuno, ai comuni con popolazione tra 10.001 e 20.000 abitanti nella misura di 60.000 euro ciascuno, ai comuni con popolazione tra 20.001 e 50.000 abitanti nella misura di 125.000 euro ciascuno, ai comuni tra 50.001 e 100.000 abitanti nella misura di 160.000 euro ciascuno, ai comuni tra 100.001 e 250.000 abitanti nella misura di 230.000 euro ciascuno e ai comuni con popolazione superiore a 250.000 abitanti nella misura di 350.000 euro ciascuno. I contributi di cui al primo periodo per l’anno 2023 sono assegnati ai comuni con il decreto di cui al periodo precedente in misura pari alla metà del contributo assegnato per l’anno 2022. La popolazione di riferimento, ai fini del riparto di cui al periodo precedente è la popolazione residente al 31 dicembre 2019 post censimento, disponibile al seguente link </w:t>
      </w:r>
      <w:hyperlink r:id="rId18" w:history="1">
        <w:r w:rsidRPr="00EC14DE">
          <w:t>http://demo.istat.it/bil/index.php?anno=2019&amp;lingua=ita</w:t>
        </w:r>
      </w:hyperlink>
      <w:r w:rsidRPr="00EC14DE">
        <w:rPr>
          <w:sz w:val="22"/>
          <w:szCs w:val="22"/>
        </w:rPr>
        <w:t>. Entro il 30 gennaio 2022, il Ministero dell'interno dà comunicazione a ciascun comune dell'importo del contributo ad esso spettante.</w:t>
      </w:r>
    </w:p>
    <w:p w14:paraId="598A914A" w14:textId="77777777" w:rsidR="00BD34A6" w:rsidRPr="00EC14DE" w:rsidRDefault="00BD34A6" w:rsidP="00BD34A6">
      <w:pPr>
        <w:pStyle w:val="wordsection1"/>
        <w:jc w:val="both"/>
        <w:rPr>
          <w:sz w:val="22"/>
          <w:szCs w:val="22"/>
        </w:rPr>
      </w:pPr>
      <w:r w:rsidRPr="00EC14DE">
        <w:rPr>
          <w:sz w:val="22"/>
          <w:szCs w:val="22"/>
        </w:rPr>
        <w:t xml:space="preserve">2. Il comune beneficiario del contributo può finanziare uno o più interventi di manutenzione straordinaria delle strade comunali, dei marciapiedi e dell’arredo urbano, a condizione che gli stessi non siano già integralmente finanziati da altri soggetti e che siano aggiuntivi rispetto a quelli previsti nella seconda </w:t>
      </w:r>
      <w:r w:rsidR="00335BE9" w:rsidRPr="00EC14DE">
        <w:rPr>
          <w:sz w:val="22"/>
          <w:szCs w:val="22"/>
        </w:rPr>
        <w:t xml:space="preserve">e terza </w:t>
      </w:r>
      <w:r w:rsidRPr="00EC14DE">
        <w:rPr>
          <w:sz w:val="22"/>
          <w:szCs w:val="22"/>
        </w:rPr>
        <w:t xml:space="preserve">annualità del bilancio di previsione </w:t>
      </w:r>
      <w:r w:rsidR="00335BE9" w:rsidRPr="00EC14DE">
        <w:rPr>
          <w:sz w:val="22"/>
          <w:szCs w:val="22"/>
        </w:rPr>
        <w:t>2021-2023</w:t>
      </w:r>
      <w:r w:rsidRPr="00EC14DE">
        <w:rPr>
          <w:sz w:val="22"/>
          <w:szCs w:val="22"/>
        </w:rPr>
        <w:t>.</w:t>
      </w:r>
    </w:p>
    <w:p w14:paraId="33F49C86" w14:textId="77777777" w:rsidR="00BD34A6" w:rsidRPr="00EC14DE" w:rsidRDefault="00BD34A6" w:rsidP="00BD34A6">
      <w:pPr>
        <w:pStyle w:val="wordsection1"/>
        <w:jc w:val="both"/>
        <w:rPr>
          <w:sz w:val="22"/>
          <w:szCs w:val="22"/>
        </w:rPr>
      </w:pPr>
      <w:r w:rsidRPr="00EC14DE">
        <w:rPr>
          <w:sz w:val="22"/>
          <w:szCs w:val="22"/>
        </w:rPr>
        <w:t>3. Il comune beneficiario del contributo di cui al comma 1 è tenuto ad iniziare l'esecuzione dei lavori entro il 30 luglio 2022 per i contributi relativi all’anno 2022 ed entro il 30 luglio 2023 per i contributi relativi all’anno 2023.</w:t>
      </w:r>
    </w:p>
    <w:p w14:paraId="4A2595F3" w14:textId="77777777" w:rsidR="00BD34A6" w:rsidRPr="00EC14DE" w:rsidRDefault="00BD34A6" w:rsidP="00BD34A6">
      <w:pPr>
        <w:pStyle w:val="wordsection1"/>
        <w:jc w:val="both"/>
        <w:rPr>
          <w:sz w:val="22"/>
          <w:szCs w:val="22"/>
        </w:rPr>
      </w:pPr>
      <w:r w:rsidRPr="00EC14DE">
        <w:rPr>
          <w:sz w:val="22"/>
          <w:szCs w:val="22"/>
        </w:rPr>
        <w:t xml:space="preserve">4. I contributi di cui al comma 1 sono erogati dal Ministero dell'interno agli enti beneficiari, per </w:t>
      </w:r>
      <w:r w:rsidR="00335BE9" w:rsidRPr="00EC14DE">
        <w:rPr>
          <w:sz w:val="22"/>
          <w:szCs w:val="22"/>
        </w:rPr>
        <w:t>l’80</w:t>
      </w:r>
      <w:r w:rsidRPr="00EC14DE">
        <w:rPr>
          <w:sz w:val="22"/>
          <w:szCs w:val="22"/>
        </w:rPr>
        <w:t xml:space="preserve"> per cento previa verifica dell'avvenuto inizio dell'esecuzione dei lavori attraverso il sistema di monitoraggio di cui al comma 6 e per il restante </w:t>
      </w:r>
      <w:r w:rsidR="00335BE9" w:rsidRPr="00EC14DE">
        <w:rPr>
          <w:sz w:val="22"/>
          <w:szCs w:val="22"/>
        </w:rPr>
        <w:t xml:space="preserve">20 </w:t>
      </w:r>
      <w:r w:rsidRPr="00EC14DE">
        <w:rPr>
          <w:sz w:val="22"/>
          <w:szCs w:val="22"/>
        </w:rPr>
        <w:t>per cento previa trasmissione al Ministero dell'interno del certificato di collaudo o del certificato di regolare esecuzione rilasciato dal direttore dei lavori, ai sensi dell'</w:t>
      </w:r>
      <w:hyperlink r:id="rId19" w:history="1">
        <w:r w:rsidRPr="00EC14DE">
          <w:t>articolo 102 del codice di cui al decreto legislativo 18 aprile 2016, n. 50</w:t>
        </w:r>
      </w:hyperlink>
      <w:r w:rsidRPr="00EC14DE">
        <w:rPr>
          <w:sz w:val="22"/>
          <w:szCs w:val="22"/>
        </w:rPr>
        <w:t>. I relativi passaggi amministrativi sono altresì rilevati tramite il sistema di monitoraggio di cui al comma 6.</w:t>
      </w:r>
    </w:p>
    <w:p w14:paraId="1EF659E1" w14:textId="77777777" w:rsidR="00BD34A6" w:rsidRPr="00EC14DE" w:rsidRDefault="00BD34A6" w:rsidP="00BD34A6">
      <w:pPr>
        <w:pStyle w:val="wordsection1"/>
        <w:jc w:val="both"/>
        <w:rPr>
          <w:sz w:val="22"/>
          <w:szCs w:val="22"/>
        </w:rPr>
      </w:pPr>
      <w:r w:rsidRPr="00EC14DE">
        <w:rPr>
          <w:sz w:val="22"/>
          <w:szCs w:val="22"/>
        </w:rPr>
        <w:t>5. Nel caso di mancato rispetto del termine di inizio dell'esecuzione dei lavori di cui al comma 3 o di parziale utilizzo del contributo, il medesimo contributo è revocato, in tutto o in parte, entro il 30 settembre 2022 per i contributi relativi all’anno 2022 ed entro il 30 settembre 2023 per i contributi relativi all’anno 2023, con decreti del Ministero dell'interno.</w:t>
      </w:r>
    </w:p>
    <w:p w14:paraId="6BE2D4F8" w14:textId="77777777" w:rsidR="00BD34A6" w:rsidRPr="00EC14DE" w:rsidRDefault="00BD34A6" w:rsidP="00BD34A6">
      <w:pPr>
        <w:pStyle w:val="wordsection1"/>
        <w:jc w:val="both"/>
        <w:rPr>
          <w:sz w:val="22"/>
          <w:szCs w:val="22"/>
        </w:rPr>
      </w:pPr>
      <w:r w:rsidRPr="00EC14DE">
        <w:rPr>
          <w:sz w:val="22"/>
          <w:szCs w:val="22"/>
        </w:rPr>
        <w:t>6. Il monitoraggio degli investimenti finalizzati alla manutenzione straordinaria delle strade comunali, dei marciapiedi e dell’arredo urbano di cui ai commi da 1 a 5 è effettuato dai comuni beneficiari attraverso il sistema previsto dal </w:t>
      </w:r>
      <w:hyperlink r:id="rId20" w:history="1">
        <w:r w:rsidRPr="00EC14DE">
          <w:t>decreto legislativo 29 dicembre 2011, n. 229</w:t>
        </w:r>
      </w:hyperlink>
      <w:r w:rsidRPr="00EC14DE">
        <w:rPr>
          <w:sz w:val="22"/>
          <w:szCs w:val="22"/>
        </w:rPr>
        <w:t>, classificando le opere sotto la voce «Contributo piccoli investimenti legge di bilancio 2022». Non trova applicazione l’articolo 158 del decreto legislativo 18 agosto 2000, 267.</w:t>
      </w:r>
    </w:p>
    <w:p w14:paraId="78110BD3" w14:textId="77777777" w:rsidR="00BD34A6" w:rsidRPr="00EC14DE" w:rsidRDefault="00BD34A6" w:rsidP="00BD34A6">
      <w:pPr>
        <w:pStyle w:val="wordsection1"/>
        <w:jc w:val="both"/>
        <w:rPr>
          <w:sz w:val="22"/>
          <w:szCs w:val="22"/>
        </w:rPr>
      </w:pPr>
      <w:r w:rsidRPr="00EC14DE">
        <w:rPr>
          <w:sz w:val="22"/>
          <w:szCs w:val="22"/>
        </w:rPr>
        <w:t>7. Il Ministero dell'interno, in collaborazione con il Ministero delle infrastrutture e dei trasporti, effettua un controllo a campione sulle opere pubbliche oggetto del contributo di cui ai commi da 1 a 5.</w:t>
      </w:r>
    </w:p>
    <w:p w14:paraId="40FFA6D9" w14:textId="77777777" w:rsidR="00BD34A6" w:rsidRPr="00EC14DE" w:rsidRDefault="00BD34A6" w:rsidP="00BD34A6">
      <w:pPr>
        <w:pStyle w:val="wordsection1"/>
        <w:jc w:val="both"/>
        <w:rPr>
          <w:sz w:val="22"/>
          <w:szCs w:val="22"/>
        </w:rPr>
      </w:pPr>
      <w:r w:rsidRPr="00EC14DE">
        <w:rPr>
          <w:sz w:val="22"/>
          <w:szCs w:val="22"/>
        </w:rPr>
        <w:t>8. I comuni rendono nota la fonte di finanziamento, l'importo assegnato e la finalizzazione del contributo assegnato nel proprio sito internet, nella sezione « Amministrazione trasparente » di cui al </w:t>
      </w:r>
      <w:hyperlink r:id="rId21" w:history="1">
        <w:r w:rsidRPr="00EC14DE">
          <w:t>decreto legislativo 14 marzo 2013, n. 33</w:t>
        </w:r>
      </w:hyperlink>
      <w:r w:rsidRPr="00EC14DE">
        <w:rPr>
          <w:sz w:val="22"/>
          <w:szCs w:val="22"/>
        </w:rPr>
        <w:t>, sottosezione Opere pubbliche. Il sindaco è tenuto a comunicare tali informazioni al consiglio comunale nella prima seduta utile.</w:t>
      </w:r>
    </w:p>
    <w:p w14:paraId="2AB09CCA" w14:textId="77777777" w:rsidR="001E095F" w:rsidRPr="00EC14DE" w:rsidRDefault="001E095F" w:rsidP="0030430E">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(Rifinanziamento progettazione)</w:t>
      </w:r>
    </w:p>
    <w:p w14:paraId="547BAF93" w14:textId="77777777" w:rsidR="001E095F" w:rsidRPr="00EC14DE" w:rsidRDefault="001E095F" w:rsidP="007C594F">
      <w:pPr>
        <w:widowControl w:val="0"/>
      </w:pPr>
      <w:r w:rsidRPr="00EC14DE">
        <w:t>1. All’articolo 1 della legge 27 dicembre 2019, n. 160, sono apportate le seguenti modificazioni:</w:t>
      </w:r>
    </w:p>
    <w:p w14:paraId="280B6B1A" w14:textId="77777777" w:rsidR="001E095F" w:rsidRPr="00EC14DE" w:rsidRDefault="00D441D4" w:rsidP="007C594F">
      <w:pPr>
        <w:widowControl w:val="0"/>
      </w:pPr>
      <w:r w:rsidRPr="00EC14DE">
        <w:t>a) a</w:t>
      </w:r>
      <w:r w:rsidR="001E095F" w:rsidRPr="00EC14DE">
        <w:t>l comma 51, le parole “di 170 milioni di euro per l'anno 2022 e di 200 milioni di euro per ciascuno degli anni dal 2023 al 2031” sono sostituite dalle seguenti “di 320 milioni di euro per l'anno 2022, di 350 milioni di euro per l’anno 2023 e di 200 milioni di euro per ciascuno degli anni dal 2024 al 2031”;</w:t>
      </w:r>
    </w:p>
    <w:p w14:paraId="59188FF9" w14:textId="77777777" w:rsidR="001E095F" w:rsidRPr="00EC14DE" w:rsidRDefault="00D441D4" w:rsidP="007C594F">
      <w:pPr>
        <w:widowControl w:val="0"/>
      </w:pPr>
      <w:r w:rsidRPr="00EC14DE">
        <w:t>b) d</w:t>
      </w:r>
      <w:r w:rsidR="001E095F" w:rsidRPr="00EC14DE">
        <w:t xml:space="preserve">opo il comma 53 aggiungere i seguenti: </w:t>
      </w:r>
    </w:p>
    <w:p w14:paraId="1E5820E5" w14:textId="77777777" w:rsidR="001E095F" w:rsidRPr="00EC14DE" w:rsidRDefault="001E095F" w:rsidP="007C594F">
      <w:pPr>
        <w:widowControl w:val="0"/>
        <w:ind w:left="426"/>
      </w:pPr>
      <w:r w:rsidRPr="00EC14DE">
        <w:t>“53-bis. Per il biennio 2022-2023 l’ordine prioritario di assegnazione dei contributi è il seguente:</w:t>
      </w:r>
    </w:p>
    <w:p w14:paraId="35F2B813" w14:textId="77777777" w:rsidR="001E095F" w:rsidRPr="00EC14DE" w:rsidRDefault="001E095F" w:rsidP="007C594F">
      <w:pPr>
        <w:widowControl w:val="0"/>
        <w:ind w:left="426"/>
      </w:pPr>
      <w:r w:rsidRPr="00EC14DE">
        <w:t>a)</w:t>
      </w:r>
      <w:r w:rsidRPr="00EC14DE">
        <w:tab/>
        <w:t>opere pubbliche nell’ambito del Piano nazionale di ripresa e resilienza (PNRR), approvato con Decisione del Consiglio ECOFIN del 13 luglio e notificato all’Italia dal Segretariato generale del Consiglio con nota del 14 luglio 2021;</w:t>
      </w:r>
    </w:p>
    <w:p w14:paraId="3B8C844C" w14:textId="77777777" w:rsidR="001E095F" w:rsidRPr="00EC14DE" w:rsidRDefault="001E095F" w:rsidP="007C594F">
      <w:pPr>
        <w:widowControl w:val="0"/>
        <w:ind w:left="426"/>
      </w:pPr>
      <w:r w:rsidRPr="00EC14DE">
        <w:t>b)</w:t>
      </w:r>
      <w:r w:rsidRPr="00EC14DE">
        <w:tab/>
        <w:t>messa in sicurezza del territorio a rischio idrogeologico;</w:t>
      </w:r>
    </w:p>
    <w:p w14:paraId="18BC37D2" w14:textId="77777777" w:rsidR="001E095F" w:rsidRPr="00EC14DE" w:rsidRDefault="001E095F" w:rsidP="007C594F">
      <w:pPr>
        <w:widowControl w:val="0"/>
        <w:ind w:left="426"/>
      </w:pPr>
      <w:r w:rsidRPr="00EC14DE">
        <w:t>c)</w:t>
      </w:r>
      <w:r w:rsidRPr="00EC14DE">
        <w:tab/>
        <w:t>messa in sicurezza di strade, ponti e viadotti;</w:t>
      </w:r>
    </w:p>
    <w:p w14:paraId="07B62F76" w14:textId="77777777" w:rsidR="001E095F" w:rsidRPr="00EC14DE" w:rsidRDefault="001E095F" w:rsidP="007C594F">
      <w:pPr>
        <w:widowControl w:val="0"/>
        <w:ind w:left="426"/>
      </w:pPr>
      <w:r w:rsidRPr="00EC14DE">
        <w:t>d)</w:t>
      </w:r>
      <w:r w:rsidRPr="00EC14DE">
        <w:tab/>
        <w:t>messa in sicurezza ed efficientamento energetico degli edifici, con precedenza per gli edifici scolastici, e di altre strutture di proprietà dell'ente.</w:t>
      </w:r>
    </w:p>
    <w:p w14:paraId="73476FDF" w14:textId="77777777" w:rsidR="001E095F" w:rsidRPr="00EC14DE" w:rsidRDefault="001E095F" w:rsidP="007C594F">
      <w:pPr>
        <w:widowControl w:val="0"/>
        <w:ind w:left="426"/>
      </w:pPr>
      <w:r w:rsidRPr="00EC14DE">
        <w:t>53-ter. Per i contributi relativi all’anno 2022 il termine di cui al comma 52 è il 15 marzo 2022 ed il termine di cui al</w:t>
      </w:r>
      <w:r w:rsidR="0084095B" w:rsidRPr="00EC14DE">
        <w:t xml:space="preserve"> comma 53 è il 15 aprile 2022.”;</w:t>
      </w:r>
    </w:p>
    <w:p w14:paraId="169BAC16" w14:textId="77777777" w:rsidR="001E095F" w:rsidRPr="00EC14DE" w:rsidRDefault="00D441D4" w:rsidP="007C594F">
      <w:pPr>
        <w:widowControl w:val="0"/>
      </w:pPr>
      <w:r w:rsidRPr="00EC14DE">
        <w:t>c) a</w:t>
      </w:r>
      <w:r w:rsidR="001E095F" w:rsidRPr="00EC14DE">
        <w:t>l comma 54 sostituire le parole “Ferme restando le priorità di cui alle lettere a), b) e c) del comma 53” con le seguenti: “Ferme restando le priorità di cui ai commi 53 e 53-bis”</w:t>
      </w:r>
      <w:r w:rsidRPr="00EC14DE">
        <w:t>.</w:t>
      </w:r>
    </w:p>
    <w:p w14:paraId="6D257506" w14:textId="77777777" w:rsidR="00C34614" w:rsidRPr="00EC14DE" w:rsidRDefault="00C34614"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56159E" w:rsidRPr="00EC14DE">
        <w:t>Fondo per la progettazione degli interventi di rimessa in efficienza delle opere idrauliche e di recupero e miglioramento della funzionalità idraulica dei reticoli idrografici)</w:t>
      </w:r>
    </w:p>
    <w:p w14:paraId="51074763" w14:textId="77777777" w:rsidR="0056159E" w:rsidRPr="00EC14DE" w:rsidRDefault="006E3BA6" w:rsidP="0056159E">
      <w:r w:rsidRPr="00EC14DE">
        <w:t xml:space="preserve">1. </w:t>
      </w:r>
      <w:r w:rsidR="0056159E" w:rsidRPr="00EC14DE">
        <w:t xml:space="preserve">Nello stato di previsione del Ministero dell’economia e delle finanze è istituito un Fondo per la progettazione, con una dotazione di 5 milioni per ciascuno degli anni dal 2022 al 2024, da </w:t>
      </w:r>
      <w:r w:rsidR="004408E8" w:rsidRPr="00EC14DE">
        <w:t xml:space="preserve">trasferire al bilancio autonomo della </w:t>
      </w:r>
      <w:r w:rsidR="0056159E" w:rsidRPr="00EC14DE">
        <w:t>Presidenza del Consiglio dei ministri per il finanziamento della progettazione degli interventi di rimessa in efficienza delle opere idrauliche e di recupero e miglioramento della funzionalità idraulica dei reticoli idrografici. Il funzionamento del Fondo e i criteri e le modalità di riparto, ivi inclusa la revoca in caso di mancato  o parziale utilizzo delle risorse nei termini previsti,  tra le Regioni e le Province autonome sono stabiliti con decreto del Presidente del Consiglio dei ministri, di concerto con il Ministro dell’e</w:t>
      </w:r>
      <w:r w:rsidR="004E5294" w:rsidRPr="00EC14DE">
        <w:t>conomia e delle finanze</w:t>
      </w:r>
      <w:r w:rsidR="00382A6D" w:rsidRPr="00EC14DE">
        <w:t xml:space="preserve"> e con il  Ministro della transizione ecologica</w:t>
      </w:r>
      <w:r w:rsidR="0056159E" w:rsidRPr="00EC14DE">
        <w:t>, previa intesa in sede di Conferenza unificata di cui all'articolo 8 del decreto legislativo 28 agosto 1997, n. 281, da adottare entro novanta giorni dalla data di entrata in vigore della presente legge.</w:t>
      </w:r>
    </w:p>
    <w:p w14:paraId="1F4A837F" w14:textId="77777777" w:rsidR="003756CC" w:rsidRPr="00EC14DE" w:rsidRDefault="003756CC" w:rsidP="003756CC">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(Completamento degli interventi di messa in sicurezza e gestione dei rifiuti pericolosi e radioattivi stoccati nel deposito ex Cemerad</w:t>
      </w:r>
      <w:r w:rsidR="00EF4AC3" w:rsidRPr="00EC14DE">
        <w:t>)</w:t>
      </w:r>
    </w:p>
    <w:p w14:paraId="08A37382" w14:textId="77777777" w:rsidR="003756CC" w:rsidRPr="00EC14DE" w:rsidRDefault="003756CC" w:rsidP="003756CC">
      <w:pPr>
        <w:pStyle w:val="wordsection1"/>
        <w:jc w:val="both"/>
        <w:rPr>
          <w:sz w:val="22"/>
          <w:szCs w:val="22"/>
        </w:rPr>
      </w:pPr>
      <w:r w:rsidRPr="00EC14DE">
        <w:rPr>
          <w:sz w:val="22"/>
          <w:szCs w:val="22"/>
        </w:rPr>
        <w:t>1.Al fine di consentire il completamento degli interventi di messa in sicurezza e gestione dei rifiuti pericolosi e radioattivi siti nel deposito dell'area ex Cemerad nel territorio del comune di Statte, in provincia di Taranto, è autorizzata la spesa di euro 8.800.000 per l’anno 2022.</w:t>
      </w:r>
    </w:p>
    <w:p w14:paraId="019309F0" w14:textId="77777777" w:rsidR="00350DBB" w:rsidRPr="00EC14DE" w:rsidRDefault="00350DBB" w:rsidP="00350DBB">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(Rifinanziamento Aree interne)</w:t>
      </w:r>
    </w:p>
    <w:p w14:paraId="00F0E926" w14:textId="77777777" w:rsidR="00350DBB" w:rsidRPr="00EC14DE" w:rsidRDefault="00350DBB" w:rsidP="00350DBB">
      <w:r w:rsidRPr="00EC14DE">
        <w:t>1. Le risorse di cui all’articolo 1, comma 2, lett. c) punto 12 del decreto legge 6 maggio 2021, n. 59, convertito in legge, con modificazioni, dall’articolo 1, comma 1, della legge 1° luglio 2021, n. 101, sono incrementate di 20 milioni di euro per l’anno 2023 e 30 milioni di euro per l’anno 2024.</w:t>
      </w:r>
    </w:p>
    <w:p w14:paraId="352D09AF" w14:textId="77777777" w:rsidR="00271568" w:rsidRPr="00EC14DE" w:rsidRDefault="00350DBB" w:rsidP="00350DBB">
      <w:r w:rsidRPr="00EC14DE">
        <w:t>2. Le risorse di cui al comma 1 sono ripartite con le modalità e secondo i criteri di cui all’articolo 1, comma 2) quinquies del predetto decreto legge n. 59 del 2021, anche tenendo conto delle nuove Aree interne individuate nell’ambito del ciclo di programmazione 2021-2027 entro il 30 settembre 2022. Agli interventi finanziati con le risorse di cui al comma 1 si applicano altresì le disposizioni di cui all’articolo 1, commi 6, 7 e 7-bis del predetto decreto legge n. 59 del 2021.</w:t>
      </w:r>
    </w:p>
    <w:p w14:paraId="1BD94A5D" w14:textId="77777777" w:rsidR="00877E01" w:rsidRPr="00EC14DE" w:rsidRDefault="00877E0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(Giubileo 2025)</w:t>
      </w:r>
    </w:p>
    <w:p w14:paraId="7A069D6C" w14:textId="77777777" w:rsidR="0016130B" w:rsidRPr="00EC14DE" w:rsidRDefault="00382A6D" w:rsidP="00382A6D">
      <w:pPr>
        <w:spacing w:before="100" w:beforeAutospacing="1" w:after="100" w:afterAutospacing="1"/>
        <w:rPr>
          <w:b/>
          <w:bCs/>
        </w:rPr>
      </w:pPr>
      <w:r w:rsidRPr="00EC14DE">
        <w:t>1</w:t>
      </w:r>
      <w:r w:rsidR="00B056FE" w:rsidRPr="00EC14DE">
        <w:t>. In relazione alle celebrazioni del Giubileo della Chiesa Cattolica per il 2025, per la pianificazione e la realizzazione delle opere e degli interventi funzionali</w:t>
      </w:r>
      <w:r w:rsidR="004F2FBD" w:rsidRPr="00EC14DE">
        <w:t xml:space="preserve"> all’evento</w:t>
      </w:r>
      <w:r w:rsidR="00B056FE" w:rsidRPr="00EC14DE">
        <w:t xml:space="preserve"> è istituito nello stato di previsione del Ministero dell’economia e delle finanze un apposito Fondo da ripartire con una dotazione di 290 milioni di euro per ciascuno degli anni 2022, 2023 e 2024, di</w:t>
      </w:r>
      <w:r w:rsidR="0016130B" w:rsidRPr="00EC14DE">
        <w:t xml:space="preserve"> </w:t>
      </w:r>
      <w:r w:rsidR="00B056FE" w:rsidRPr="00EC14DE">
        <w:t>330 milioni di euro per l’anno 2025, e di 140 milioni di euro per l’anno 2026. Nel predetto stato di previsione è altresì istituito, per le medesime celebrazioni, un fondo da ripartire per assicurare il coordinamento operativo e le spese relativi a servizi da rendere ai partecipanti all’evento con una dotazione di 10 milioni di euro per ciascuno degli anni 2022, 2023 e 2024, di 70 milioni di euro per l’anno 2025, e di 10 milioni di euro per l’anno 2026.</w:t>
      </w:r>
      <w:r w:rsidRPr="00EC14DE">
        <w:rPr>
          <w:b/>
          <w:bCs/>
        </w:rPr>
        <w:t xml:space="preserve"> </w:t>
      </w:r>
    </w:p>
    <w:p w14:paraId="6AD2334D" w14:textId="77777777" w:rsidR="00685981" w:rsidRPr="00EC14DE" w:rsidRDefault="00685981" w:rsidP="00D71A62">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 xml:space="preserve">(Gran Premio </w:t>
      </w:r>
      <w:r w:rsidR="00A6007A" w:rsidRPr="00EC14DE">
        <w:t>del Made in Italy e dell’Emilia Romagna</w:t>
      </w:r>
      <w:r w:rsidRPr="00EC14DE">
        <w:t>)</w:t>
      </w:r>
    </w:p>
    <w:p w14:paraId="1D070B55" w14:textId="77777777" w:rsidR="004C2A1A" w:rsidRPr="00EC14DE" w:rsidRDefault="004C2A1A" w:rsidP="004C2A1A">
      <w:r w:rsidRPr="00EC14DE">
        <w:t>1. In considerazione dello specifico rilievo che lo svolgimento del Gran Premio di F1 del Made in Italy e dell'Emilia Romagna, presso l'autodromo di Imola, riveste per il settore sportivo, turistico ed economico, nonché per l'immagine del Paese in ambito internazionale, la Federazione sportiva nazionale-ACI è autorizzata a sostenere la spesa per costi di organizzazione e gestione della manifestazione per il periodo di vigenza del rapporto di concessione con il soggetto titolare dei diritti di organizzazione e promozione del campionato mondiale di Formula 1 a valere sulle risorse complessivamente iscritte nel proprio bilancio, anche attivando adeguate misure di contenimento dei costi generali di gestione e senza pregiudizio per gli equilibri di bilancio.</w:t>
      </w:r>
    </w:p>
    <w:p w14:paraId="324A872F" w14:textId="77777777" w:rsidR="006D72CA" w:rsidRPr="00EC14DE" w:rsidRDefault="004C2A1A" w:rsidP="00D91309">
      <w:pPr>
        <w:pStyle w:val="wordsection1"/>
        <w:jc w:val="both"/>
        <w:rPr>
          <w:sz w:val="22"/>
          <w:szCs w:val="22"/>
        </w:rPr>
      </w:pPr>
      <w:r w:rsidRPr="00EC14DE">
        <w:rPr>
          <w:sz w:val="22"/>
          <w:szCs w:val="22"/>
        </w:rPr>
        <w:t>2. Per le finalità di cui al comma 1 è riconosciuto un contributo di 5 milioni di euro per ciascuno degli anni dal 2022 al 2025, in favore della Federazione sportiva nazionale-ACI.</w:t>
      </w:r>
      <w:r w:rsidRPr="00EC14DE" w:rsidDel="004C2A1A">
        <w:rPr>
          <w:sz w:val="22"/>
          <w:szCs w:val="22"/>
        </w:rPr>
        <w:t xml:space="preserve"> </w:t>
      </w:r>
    </w:p>
    <w:p w14:paraId="7030DE9A" w14:textId="77777777" w:rsidR="00685981" w:rsidRPr="00EC14DE" w:rsidRDefault="00685981" w:rsidP="00685981">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(Candidatura Roma Expo 2030)</w:t>
      </w:r>
    </w:p>
    <w:p w14:paraId="1DD8B38E" w14:textId="77777777" w:rsidR="00685981" w:rsidRPr="00EC14DE" w:rsidRDefault="009B2BF1" w:rsidP="00685981">
      <w:r w:rsidRPr="00EC14DE">
        <w:t>1. Per</w:t>
      </w:r>
      <w:r w:rsidR="00041A5A" w:rsidRPr="00EC14DE">
        <w:t xml:space="preserve"> </w:t>
      </w:r>
      <w:r w:rsidRPr="00EC14DE">
        <w:t>le attività e gli adempimenti connessi alla candidatura della città di Roma ad ospitare l'Esposizione universale internazionale del 2030, è istituito nello stato di previsione del Ministero dell’economia e delle finanze, per il successivo trasferimento al bilancio autonomo della Presidenza del consiglio dei ministri un fondo con uno stanziamento di 5 milioni di euro per l’anno 2022 e di 10 milioni di euro per l’anno 2023.</w:t>
      </w:r>
    </w:p>
    <w:p w14:paraId="1D6D20EF" w14:textId="77777777" w:rsidR="003756CC" w:rsidRPr="00EC14DE" w:rsidRDefault="003756CC" w:rsidP="00B22E51">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003A5D35" w:rsidRPr="00EC14DE">
        <w:br/>
        <w:t xml:space="preserve">(Rifinanziamento degli interventi di protezione civile </w:t>
      </w:r>
      <w:r w:rsidR="00C2333E" w:rsidRPr="00EC14DE">
        <w:t>connessi agli stati di emergenza di rilievo nazionale)</w:t>
      </w:r>
    </w:p>
    <w:p w14:paraId="7E953C33" w14:textId="77777777" w:rsidR="003756CC" w:rsidRPr="00EC14DE" w:rsidRDefault="00950CD8" w:rsidP="003756CC">
      <w:r w:rsidRPr="00EC14DE">
        <w:rPr>
          <w:bCs/>
          <w:shd w:val="clear" w:color="auto" w:fill="FFFFFF"/>
        </w:rPr>
        <w:t xml:space="preserve">1. Per fare fronte ai danni occorsi al patrimonio privato ed alle attività economiche e produttive relativamente alle ricognizioni dei fabbisogni completate dai Commissari delegati ai sensi di quanto previsto dall’articolo 25, comma 2, lettera e), del decreto legislativo 2 gennaio 2018, n.1, e trasmesse al Dipartimento della protezione civile della Presidenza del Consiglio dei ministri per la successiva istruttoria alla data di entrata in vigore della presente legge, relativamente agli eventi per i quali è stato dichiarato lo stato di emergenza nazionale di cui all’art. 7, comma 1, lettera c) del medesimo decreto legislativo, verificatisi negli anni 2019 e 2020, </w:t>
      </w:r>
      <w:r w:rsidRPr="00EC14DE">
        <w:rPr>
          <w:bCs/>
        </w:rPr>
        <w:t>è autorizzata la spesa di 50 milioni di euro per ciascuno degli anni dal 2023 al 2027. A</w:t>
      </w:r>
      <w:r w:rsidRPr="00EC14DE">
        <w:rPr>
          <w:bCs/>
          <w:shd w:val="clear" w:color="auto" w:fill="FFFFFF"/>
        </w:rPr>
        <w:t>lla disciplina delle modalità di determinazione e concessione dei contributi di cui al presente comma e all’assegnazione delle risorse finanziarie in proporzione ai predetti fabbisogni, si provvede con apposite ordinanze del Capo del Dipartimento della protezione civile della Presidenza del Consiglio dei ministri, adottate di concerto con il Ministero dell’economia e delle finanze, relative all’ambito territoriale di ciascuna regione o provincia autonoma, e d’intesa con la medesima,  nel rispetto dei criteri stabiliti con la deliberazione del Consiglio dei Ministri del 28 luglio 2016, pubblicata nella Gazzetta ufficiale della Repubblica italiana n. 183 del 6 agosto 2016 e al netto degli eventuali contributi già percepiti ai sensi di quanto previsto dall’articolo 25, comma 2, lettera c) del citato decreto legislativo.</w:t>
      </w:r>
    </w:p>
    <w:p w14:paraId="3E336664" w14:textId="77777777" w:rsidR="00B22E51" w:rsidRPr="00EC14DE" w:rsidRDefault="003756CC" w:rsidP="00B22E51">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00B22E51" w:rsidRPr="00EC14DE">
        <w:br/>
        <w:t>(</w:t>
      </w:r>
      <w:r w:rsidR="00B22E51" w:rsidRPr="00EC14DE">
        <w:rPr>
          <w:rFonts w:eastAsia="Times New Roman"/>
        </w:rPr>
        <w:t>Disposizioni in materia di eventi sismici</w:t>
      </w:r>
      <w:r w:rsidR="00B22E51" w:rsidRPr="00EC14DE">
        <w:t>)</w:t>
      </w:r>
    </w:p>
    <w:p w14:paraId="54EBD987" w14:textId="77777777" w:rsidR="00FA7957" w:rsidRPr="00EC14DE" w:rsidRDefault="00663ED6" w:rsidP="00D535EC">
      <w:pPr>
        <w:pStyle w:val="wordsection1"/>
        <w:autoSpaceDE w:val="0"/>
        <w:autoSpaceDN w:val="0"/>
        <w:jc w:val="both"/>
        <w:rPr>
          <w:sz w:val="22"/>
          <w:szCs w:val="22"/>
        </w:rPr>
      </w:pPr>
      <w:r w:rsidRPr="00EC14DE">
        <w:rPr>
          <w:sz w:val="22"/>
          <w:szCs w:val="22"/>
        </w:rPr>
        <w:t xml:space="preserve">1. </w:t>
      </w:r>
      <w:r w:rsidR="00FA7957" w:rsidRPr="00EC14DE">
        <w:rPr>
          <w:sz w:val="22"/>
          <w:szCs w:val="22"/>
        </w:rPr>
        <w:t>Allo scopo di assicurare il proseguimento e l'accelerazione dei processi di ricostruzione all’articolo 1 del decreto-legge 17 ottobre 2016, n. 189, convertito, con modificazioni, dalla legge 15 dicembre 2016, n. 229, dopo il comma 4-quinquies è aggiunto il seguente comma: “4-sexies. Lo stato di emergenza di cui al comma 4-bis è prorogato fino al 31 dicembre 2022. Con delibere del Consiglio dei ministri adottate ai sensi dell'articolo 24 del decreto legislativo 2 gennaio 2018, n.  1, si provvede all'assegnazione delle risorse per le attività conseguenti alla proroga di cui al comma 1, nel limite di 173 milioni di euro per l’anno 2022 a valere sulle risorse del Fondo per le emergenze nazionali di cui all'articolo 44 del medesimo decreto legislativo n. 1 del 2018”.</w:t>
      </w:r>
    </w:p>
    <w:p w14:paraId="7704E9A7" w14:textId="77777777" w:rsidR="00FA7957" w:rsidRPr="00EC14DE" w:rsidRDefault="00663ED6" w:rsidP="00D535EC">
      <w:pPr>
        <w:pStyle w:val="wordsection1"/>
        <w:autoSpaceDE w:val="0"/>
        <w:autoSpaceDN w:val="0"/>
        <w:jc w:val="both"/>
        <w:rPr>
          <w:sz w:val="22"/>
          <w:szCs w:val="22"/>
        </w:rPr>
      </w:pPr>
      <w:r w:rsidRPr="00EC14DE">
        <w:rPr>
          <w:sz w:val="22"/>
          <w:szCs w:val="22"/>
        </w:rPr>
        <w:t xml:space="preserve">2. </w:t>
      </w:r>
      <w:r w:rsidR="00FA7957" w:rsidRPr="00EC14DE">
        <w:rPr>
          <w:sz w:val="22"/>
          <w:szCs w:val="22"/>
        </w:rPr>
        <w:t xml:space="preserve">Per le medesime finalità di cui al comma 1, all'articolo 1, comma 990, della legge 30 dicembre 2018, n. 145, le parole “31 dicembre 2021” sono sostituite dalle seguenti: “31 dicembre 2022” e le parole “per l'anno 2020.” sono sostituite dalle seguenti: “per l'anno 2021”. A tal fine è autorizzata la spesa di euro 72.270.000 per l’anno 2022. </w:t>
      </w:r>
    </w:p>
    <w:p w14:paraId="1284B52A" w14:textId="77777777" w:rsidR="00FA7957" w:rsidRPr="00EC14DE" w:rsidRDefault="00262F4B" w:rsidP="00D535EC">
      <w:pPr>
        <w:pStyle w:val="wordsection1"/>
        <w:autoSpaceDE w:val="0"/>
        <w:autoSpaceDN w:val="0"/>
        <w:jc w:val="both"/>
      </w:pPr>
      <w:r w:rsidRPr="00EC14DE">
        <w:rPr>
          <w:bCs/>
          <w:sz w:val="22"/>
          <w:szCs w:val="22"/>
        </w:rPr>
        <w:t xml:space="preserve">3. Il termine di scadenza dello stato di emergenza di cui all’articolo 1, comma 3, del decreto-legge 6 giugno 2012, n. 74, convertito, con modificazioni, dalla legge 1° agosto 2012, n. 122, è ulteriormente prorogato al 31 dicembre 2022. Le disposizioni di cui all’articolo 3-bis, comma 2, del decreto-legge 24 giugno 2016, n. 113, convertito, con modificazioni, dalla legge 7 agosto 2016, n. 160, si applicano sino all’anno 2022 nel limite di 15 milioni di euro per l’anno 2022. A tal fine è autorizzata la spesa di 15 milioni di euro per l’anno 2022. All’articolo 14, comma 9, del decreto-legge 30 dicembre 2016 n. 244, convertito, con modificazioni, dalla legge 27 febbraio 2017, n.19,  sono apportate le seguenti modificazioni: le parole: «al 31 dicembre 2021» sono sostituite dalle parole: « al 31 dicembre 2022» e le parole: «nel limite di 500.000 euro per ciascuno degli anni 2019 e 2020 e di 300.000 euro per l'anno 2021» sono sostituite dalle parole: «nel limite di 500.000 euro per ciascuno degli anni 2019 e 2020 e di 300.000 euro per ciascuno degli anni 2021 e 2022 ». </w:t>
      </w:r>
    </w:p>
    <w:p w14:paraId="0826CBBA" w14:textId="77777777" w:rsidR="00FA7957" w:rsidRPr="00EC14DE" w:rsidRDefault="00663ED6" w:rsidP="00D535EC">
      <w:pPr>
        <w:pStyle w:val="wordsection1"/>
        <w:autoSpaceDE w:val="0"/>
        <w:autoSpaceDN w:val="0"/>
        <w:jc w:val="both"/>
        <w:rPr>
          <w:sz w:val="22"/>
          <w:szCs w:val="22"/>
        </w:rPr>
      </w:pPr>
      <w:r w:rsidRPr="00EC14DE">
        <w:rPr>
          <w:sz w:val="22"/>
          <w:szCs w:val="22"/>
        </w:rPr>
        <w:t xml:space="preserve">4. </w:t>
      </w:r>
      <w:r w:rsidR="00FA7957" w:rsidRPr="00EC14DE">
        <w:rPr>
          <w:sz w:val="22"/>
          <w:szCs w:val="22"/>
        </w:rPr>
        <w:t>Il termine di cui all’articolo 17, comma 2, terzo periodo, del decreto-legge 28 settembre 2018, n. 109, convertito, con modificazioni, dalla legge 16 novembre 2018, n. 130, è prorogato fino al 31 dicembre 2022.Per le attività di cui all’articolo 18, comma 1, lettera i-bis) del citato</w:t>
      </w:r>
      <w:r w:rsidR="00951AB1" w:rsidRPr="00EC14DE">
        <w:rPr>
          <w:sz w:val="22"/>
          <w:szCs w:val="22"/>
        </w:rPr>
        <w:t xml:space="preserve"> decreto-legge n. 109 del 2018, </w:t>
      </w:r>
      <w:r w:rsidR="00FA7957" w:rsidRPr="00EC14DE">
        <w:rPr>
          <w:sz w:val="22"/>
          <w:szCs w:val="22"/>
        </w:rPr>
        <w:t xml:space="preserve">è autorizzata la spesa di 4,95 milioni di euro. </w:t>
      </w:r>
    </w:p>
    <w:p w14:paraId="53624C47" w14:textId="77777777" w:rsidR="00FA7957" w:rsidRPr="00EC14DE" w:rsidRDefault="00663ED6" w:rsidP="00D535EC">
      <w:pPr>
        <w:pStyle w:val="wordsection1"/>
        <w:autoSpaceDE w:val="0"/>
        <w:autoSpaceDN w:val="0"/>
        <w:jc w:val="both"/>
        <w:rPr>
          <w:sz w:val="22"/>
          <w:szCs w:val="22"/>
        </w:rPr>
      </w:pPr>
      <w:r w:rsidRPr="00EC14DE">
        <w:rPr>
          <w:sz w:val="22"/>
          <w:szCs w:val="22"/>
        </w:rPr>
        <w:t xml:space="preserve">5. </w:t>
      </w:r>
      <w:r w:rsidR="00951AB1" w:rsidRPr="00EC14DE">
        <w:rPr>
          <w:sz w:val="22"/>
          <w:szCs w:val="22"/>
        </w:rPr>
        <w:t>È</w:t>
      </w:r>
      <w:r w:rsidR="00FA7957" w:rsidRPr="00EC14DE">
        <w:rPr>
          <w:sz w:val="22"/>
          <w:szCs w:val="22"/>
        </w:rPr>
        <w:t xml:space="preserve"> autorizzata, per l’anno 2022, la spesa di euro 2.920.000 di cui: </w:t>
      </w:r>
    </w:p>
    <w:p w14:paraId="7D1511FC" w14:textId="77777777" w:rsidR="00FA7957" w:rsidRPr="00EC14DE" w:rsidRDefault="00FA7957" w:rsidP="00663ED6">
      <w:pPr>
        <w:pStyle w:val="wordsection1"/>
        <w:autoSpaceDE w:val="0"/>
        <w:autoSpaceDN w:val="0"/>
        <w:ind w:left="426"/>
        <w:jc w:val="both"/>
        <w:rPr>
          <w:sz w:val="22"/>
          <w:szCs w:val="22"/>
        </w:rPr>
      </w:pPr>
      <w:r w:rsidRPr="00EC14DE">
        <w:rPr>
          <w:sz w:val="22"/>
          <w:szCs w:val="22"/>
        </w:rPr>
        <w:t>a)</w:t>
      </w:r>
      <w:r w:rsidRPr="00EC14DE">
        <w:rPr>
          <w:sz w:val="22"/>
          <w:szCs w:val="22"/>
        </w:rPr>
        <w:tab/>
        <w:t xml:space="preserve">euro 1.400.000 per le finalità di cui all’articolo 31 del decreto-legge 28 settembre 2018, n. 109, convertito, con modificazioni, dalla legge 16 novembre 2018, n. 130; </w:t>
      </w:r>
    </w:p>
    <w:p w14:paraId="2C5FFAB7" w14:textId="77777777" w:rsidR="00FA7957" w:rsidRPr="00EC14DE" w:rsidRDefault="00FA7957" w:rsidP="00663ED6">
      <w:pPr>
        <w:pStyle w:val="wordsection1"/>
        <w:autoSpaceDE w:val="0"/>
        <w:autoSpaceDN w:val="0"/>
        <w:ind w:left="426"/>
        <w:jc w:val="both"/>
        <w:rPr>
          <w:sz w:val="22"/>
          <w:szCs w:val="22"/>
        </w:rPr>
      </w:pPr>
      <w:r w:rsidRPr="00EC14DE">
        <w:rPr>
          <w:sz w:val="22"/>
          <w:szCs w:val="22"/>
        </w:rPr>
        <w:t>b)</w:t>
      </w:r>
      <w:r w:rsidRPr="00EC14DE">
        <w:rPr>
          <w:sz w:val="22"/>
          <w:szCs w:val="22"/>
        </w:rPr>
        <w:tab/>
        <w:t xml:space="preserve">euro 820.000 per le finalità di cui all’articolo 32, comma 3, del decreto-legge 28 settembre 2018, n. 109, convertito, con modificazioni, dalla legge 16 novembre 2018, n. 130; </w:t>
      </w:r>
    </w:p>
    <w:p w14:paraId="79221638" w14:textId="77777777" w:rsidR="00FA7957" w:rsidRPr="00EC14DE" w:rsidRDefault="00FA7957" w:rsidP="00663ED6">
      <w:pPr>
        <w:pStyle w:val="wordsection1"/>
        <w:autoSpaceDE w:val="0"/>
        <w:autoSpaceDN w:val="0"/>
        <w:ind w:left="426"/>
        <w:jc w:val="both"/>
        <w:rPr>
          <w:sz w:val="22"/>
          <w:szCs w:val="22"/>
        </w:rPr>
      </w:pPr>
      <w:r w:rsidRPr="00EC14DE">
        <w:rPr>
          <w:sz w:val="22"/>
          <w:szCs w:val="22"/>
        </w:rPr>
        <w:t>c)</w:t>
      </w:r>
      <w:r w:rsidRPr="00EC14DE">
        <w:rPr>
          <w:sz w:val="22"/>
          <w:szCs w:val="22"/>
        </w:rPr>
        <w:tab/>
        <w:t xml:space="preserve">euro 700.000 per le finalità di cui all’articolo 30-ter del decreto-legge 22 marzo 2021, n. 41, convertito, con modificazioni, dalla legge 21 maggio 2021, n. 69. </w:t>
      </w:r>
    </w:p>
    <w:p w14:paraId="2BBB5715" w14:textId="77777777" w:rsidR="00FA7957" w:rsidRPr="00EC14DE" w:rsidRDefault="00663ED6" w:rsidP="00D535EC">
      <w:pPr>
        <w:pStyle w:val="wordsection1"/>
        <w:autoSpaceDE w:val="0"/>
        <w:autoSpaceDN w:val="0"/>
        <w:jc w:val="both"/>
        <w:rPr>
          <w:sz w:val="22"/>
          <w:szCs w:val="22"/>
        </w:rPr>
      </w:pPr>
      <w:r w:rsidRPr="00EC14DE">
        <w:rPr>
          <w:sz w:val="22"/>
          <w:szCs w:val="22"/>
        </w:rPr>
        <w:t xml:space="preserve">6. </w:t>
      </w:r>
      <w:r w:rsidR="00FA7957" w:rsidRPr="00EC14DE">
        <w:rPr>
          <w:sz w:val="22"/>
          <w:szCs w:val="22"/>
        </w:rPr>
        <w:t xml:space="preserve">Il termine di scadenza dello stato di emergenza conseguente all’evento sismico del 26 dicembre 2018, di cui all'articolo 57, comma 8, del decreto-legge 14 agosto 2020, n. 104, convertito, con modificazioni, dalla legge 13 ottobre 2020, n. 126, è ulteriormente prorogato al 31 dicembre 2022. Alle conseguenti attività si fa fronte nel limite delle risorse già stanziate per l’emergenza. </w:t>
      </w:r>
    </w:p>
    <w:p w14:paraId="4D089A78" w14:textId="77777777" w:rsidR="00666809" w:rsidRPr="00EC14DE" w:rsidRDefault="00663ED6" w:rsidP="00D535EC">
      <w:pPr>
        <w:pStyle w:val="wordsection1"/>
        <w:autoSpaceDE w:val="0"/>
        <w:autoSpaceDN w:val="0"/>
        <w:jc w:val="both"/>
        <w:rPr>
          <w:bCs/>
          <w:sz w:val="22"/>
          <w:szCs w:val="22"/>
        </w:rPr>
      </w:pPr>
      <w:r w:rsidRPr="00EC14DE">
        <w:rPr>
          <w:sz w:val="22"/>
          <w:szCs w:val="22"/>
        </w:rPr>
        <w:t xml:space="preserve">7. </w:t>
      </w:r>
      <w:r w:rsidR="00FA7957" w:rsidRPr="00EC14DE">
        <w:rPr>
          <w:sz w:val="22"/>
          <w:szCs w:val="22"/>
        </w:rPr>
        <w:t>I termini di cui all’articolo 6, comma 2, primo e secondo periodo, del decreto-legge 18 aprile 2019, n. 32 convertito, con modificazioni, dalla legge 14 giugno 2019, n. 55, sono prorogati fino al 31 dicembre 2022, ivi incluse le previsioni di cui agli articoli 14-bis e 18 del citat</w:t>
      </w:r>
      <w:r w:rsidR="00666809" w:rsidRPr="00EC14DE">
        <w:rPr>
          <w:sz w:val="22"/>
          <w:szCs w:val="22"/>
        </w:rPr>
        <w:t xml:space="preserve">o decreto-legge n. 32 del 2019. </w:t>
      </w:r>
      <w:r w:rsidR="00666809" w:rsidRPr="00EC14DE">
        <w:rPr>
          <w:bCs/>
          <w:sz w:val="22"/>
          <w:szCs w:val="22"/>
        </w:rPr>
        <w:t xml:space="preserve">A tal fine è autorizzata la spesa di 2,6 milioni di euro per l’anno 2022. </w:t>
      </w:r>
    </w:p>
    <w:p w14:paraId="5E1ABF44" w14:textId="77777777" w:rsidR="00FA7957" w:rsidRPr="00EC14DE" w:rsidRDefault="00663ED6" w:rsidP="00D535EC">
      <w:pPr>
        <w:pStyle w:val="wordsection1"/>
        <w:autoSpaceDE w:val="0"/>
        <w:autoSpaceDN w:val="0"/>
        <w:jc w:val="both"/>
        <w:rPr>
          <w:sz w:val="22"/>
          <w:szCs w:val="22"/>
        </w:rPr>
      </w:pPr>
      <w:r w:rsidRPr="00EC14DE">
        <w:rPr>
          <w:sz w:val="22"/>
          <w:szCs w:val="22"/>
        </w:rPr>
        <w:t xml:space="preserve">8. </w:t>
      </w:r>
      <w:r w:rsidR="00FA7957" w:rsidRPr="00EC14DE">
        <w:rPr>
          <w:sz w:val="22"/>
          <w:szCs w:val="22"/>
        </w:rPr>
        <w:t xml:space="preserve">Il termine di cui all'articolo 57, comma 10, del decreto-legge 14 agosto 2020, n. 104, convertito, con modificazioni, dalla legge 13 ottobre 2020, n. 126, è prorogato fino al 31 dicembre 2022 nel limite di 2,32 milioni di euro per l’anno 2022. </w:t>
      </w:r>
    </w:p>
    <w:p w14:paraId="43286D18" w14:textId="77777777" w:rsidR="004E5294" w:rsidRPr="00EC14DE" w:rsidRDefault="00663ED6" w:rsidP="004E5294">
      <w:pPr>
        <w:pStyle w:val="wordsection1"/>
        <w:autoSpaceDE w:val="0"/>
        <w:autoSpaceDN w:val="0"/>
        <w:jc w:val="both"/>
        <w:rPr>
          <w:sz w:val="22"/>
          <w:szCs w:val="22"/>
        </w:rPr>
      </w:pPr>
      <w:r w:rsidRPr="00EC14DE">
        <w:rPr>
          <w:sz w:val="22"/>
          <w:szCs w:val="22"/>
        </w:rPr>
        <w:t xml:space="preserve">9. </w:t>
      </w:r>
      <w:r w:rsidR="00FA7957" w:rsidRPr="00EC14DE">
        <w:rPr>
          <w:sz w:val="22"/>
          <w:szCs w:val="22"/>
        </w:rPr>
        <w:t>Al fine di assicurare l'efficace e tempestiva attuazione degli interventi di cui all’articolo 1, comma 2, lett. b) del decreto-legge 6 maggio 2021, n. 59, convertito con modificazioni dalla legge 1 luglio 2021, n. 101, è autorizzata la spesa di 800 mila euro per ciascuno degli anni dal 2022 al 2026, da destinare al supporto tecnico-operativo e alle attività connesse alla definizione, attuazione e valutazione degli interventi. Le risorse di cui al presente comma sono ripartite,  con provvedimento del capo del Dipartimento “Casa Italia” da adottare entro il 31 gennaio 2022, in esito alla puntuale individuazione degli interventi e del relativo soggetto attuatore, tra il Commissario straordinario per la ricostruzione dei territori colpiti dagli eventi sismici del 2016, la Struttura di missione per il coordinamento dei processi di ricostruzione e sviluppo dei territori colpiti dal sisma del 6 aprile 2009 e il Dipartimento Casa Italia.</w:t>
      </w:r>
    </w:p>
    <w:p w14:paraId="00EDFFF3" w14:textId="77777777" w:rsidR="00CE143A" w:rsidRPr="00EC14DE" w:rsidRDefault="00CE143A" w:rsidP="00110081">
      <w:r w:rsidRPr="00EC14DE">
        <w:t xml:space="preserve">10. Allo scopo di assicurare il proseguimento e l’accelerazione dei processi di ricostruzione privata nei territori interessati dagli eventi sismici del 24 agosto 2016, l’autorizzazione di spesa di cui all’articolo 1, comma 362, lettera a) della legge 11 dicembre 2016, n. 232 è incrementata di 200 milioni di euro annui a decorrere dal 2022 per venticinque anni e di ulteriori 100 milioni di euro annui a decorrere dal 2024 per venticinque anni. </w:t>
      </w:r>
    </w:p>
    <w:p w14:paraId="4580B2AB" w14:textId="77777777" w:rsidR="00110081" w:rsidRPr="00EC14DE" w:rsidRDefault="00CE143A" w:rsidP="00110081">
      <w:r w:rsidRPr="00EC14DE">
        <w:t>1</w:t>
      </w:r>
      <w:r w:rsidR="00663ED6" w:rsidRPr="00EC14DE">
        <w:t xml:space="preserve">1. </w:t>
      </w:r>
      <w:r w:rsidR="00110081" w:rsidRPr="00EC14DE">
        <w:t>Per i contratti di lavoro a tempo determinato stipulati ai sensi dei precedenti commi del presente articolo, compresi quelli derivanti da convenzioni con  società, la proroga fino al 31 dicembre 2022 si intende in deroga, limitatamente alla predetta annualità, ai limiti di durata previsti dal decreto legislativo 30 marzo 2001, n. 165, e dalla contrattazione collettiva nazionale di lavoro dei comparti del pubblico impiego e in deroga ai limiti di cui agli articoli 19 e 21 del decreto legislativo 15 giugno 2015, n. 81.</w:t>
      </w:r>
    </w:p>
    <w:p w14:paraId="75531619" w14:textId="77777777" w:rsidR="00666809" w:rsidRPr="00EC14DE" w:rsidRDefault="00666809" w:rsidP="00666809">
      <w:r w:rsidRPr="00EC14DE">
        <w:t xml:space="preserve">12. Il fondo di cui all'articolo 44 del decreto legislativo 2 gennaio 2018, n. 1, è ridotto di 4,95 milioni di euro per l'anno 2022. </w:t>
      </w:r>
    </w:p>
    <w:p w14:paraId="0F83A96E" w14:textId="77777777" w:rsidR="00110081" w:rsidRPr="00EC14DE" w:rsidRDefault="00663ED6" w:rsidP="00110081">
      <w:r w:rsidRPr="00EC14DE">
        <w:t xml:space="preserve">13. </w:t>
      </w:r>
      <w:r w:rsidR="00110081" w:rsidRPr="00EC14DE">
        <w:t xml:space="preserve">All'articolo 3 del decreto-legge 24 giugno 2016, n. 113, convertito, con modificazioni, dalla legge 7 agosto 2016, n. 160, sono apportate le seguenti modificazioni:  </w:t>
      </w:r>
    </w:p>
    <w:p w14:paraId="4907AD9D" w14:textId="77777777" w:rsidR="00110081" w:rsidRPr="00EC14DE" w:rsidRDefault="00110081" w:rsidP="00110081">
      <w:r w:rsidRPr="00EC14DE">
        <w:t xml:space="preserve">a) al comma 1, dopo il quarto periodo è inserito il seguente: “Per l'anno 2022 è assegnato un contributo straordinario di 7 milioni di euro.”; </w:t>
      </w:r>
    </w:p>
    <w:p w14:paraId="469C32E8" w14:textId="77777777" w:rsidR="00110081" w:rsidRPr="00EC14DE" w:rsidRDefault="00110081" w:rsidP="00110081">
      <w:r w:rsidRPr="00EC14DE">
        <w:t>b) al comma 2, al quinto periodo, le parole: “Per l’anno 2021” sono sostituite dalle seguenti: “Per ciascuno degli anni 2021 e 2022”.</w:t>
      </w:r>
    </w:p>
    <w:p w14:paraId="7159C412" w14:textId="77777777" w:rsidR="00110081" w:rsidRPr="00EC14DE" w:rsidRDefault="00663ED6" w:rsidP="00110081">
      <w:r w:rsidRPr="00EC14DE">
        <w:t xml:space="preserve">14. </w:t>
      </w:r>
      <w:r w:rsidR="00110081" w:rsidRPr="00EC14DE">
        <w:t xml:space="preserve">Le disposizioni di cui all'articolo 2-bis, comma 38, primo e secondo periodo, del decreto-legge 16 ottobre 2017, n. 148, convertito, con modificazioni, dalla legge 4 dicembre 2017, n. 172, sono prorogate sino all'anno 2022. A tal fine è autorizzata la spesa di 1,45 milioni di euro per l’anno 2022. </w:t>
      </w:r>
    </w:p>
    <w:p w14:paraId="1BC3E5EB" w14:textId="77777777" w:rsidR="00B22E51" w:rsidRPr="00EC14DE" w:rsidRDefault="00663ED6" w:rsidP="00110081">
      <w:r w:rsidRPr="00EC14DE">
        <w:t xml:space="preserve">15. </w:t>
      </w:r>
      <w:r w:rsidR="00110081" w:rsidRPr="00EC14DE">
        <w:t>Le disposizioni di cui all'articolo 9-sexies, comma 1, del decreto-legge 24 ottobre 2019, n. 123, convertito, con modificazioni, dalla legge 12 dicembre 2019, n. 156, sono prorogate sino al 31 dicembre 2022. A tal fine è autorizzata la spesa di 1 milione di euro per l'anno 2022.</w:t>
      </w:r>
    </w:p>
    <w:p w14:paraId="45583A1E" w14:textId="77777777" w:rsidR="00B6696A" w:rsidRPr="00EC14DE" w:rsidRDefault="00B6696A"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00932EB6" w:rsidRPr="00EC14DE">
        <w:br/>
      </w:r>
      <w:r w:rsidRPr="00EC14DE">
        <w:t>(Rifinanziamento del Fon</w:t>
      </w:r>
      <w:r w:rsidR="00932EB6" w:rsidRPr="00EC14DE">
        <w:t>do per</w:t>
      </w:r>
      <w:r w:rsidR="00D05F03" w:rsidRPr="00EC14DE">
        <w:t xml:space="preserve"> la prevenzione del rischio sis</w:t>
      </w:r>
      <w:r w:rsidR="00932EB6" w:rsidRPr="00EC14DE">
        <w:t>mico)</w:t>
      </w:r>
      <w:r w:rsidR="006B0E16" w:rsidRPr="00EC14DE">
        <w:t xml:space="preserve"> </w:t>
      </w:r>
    </w:p>
    <w:p w14:paraId="64BA7141" w14:textId="77777777" w:rsidR="008A7E76" w:rsidRPr="00EC14DE" w:rsidRDefault="008A7E76" w:rsidP="008A7E76">
      <w:pPr>
        <w:pStyle w:val="wordsection1"/>
        <w:jc w:val="both"/>
        <w:rPr>
          <w:sz w:val="22"/>
          <w:szCs w:val="22"/>
        </w:rPr>
      </w:pPr>
      <w:r w:rsidRPr="00EC14DE">
        <w:rPr>
          <w:sz w:val="22"/>
          <w:szCs w:val="22"/>
        </w:rPr>
        <w:t xml:space="preserve">1.Al fine di potenziare le azioni di prevenzione strutturale, su edifici e infrastrutture di interesse strategico per le finalità di protezione civile, e non strutturale, per studi di microzonazione sismica e analisi della condizione limite per l'emergenza, il Fondo di cui all’articolo 11 del decreto legge 28 aprile 2009, n. 39, convertito con modificazioni dalla legge 24 giugno 2009, n. 77, è rifinanziato di </w:t>
      </w:r>
      <w:r w:rsidRPr="00EC14DE">
        <w:rPr>
          <w:bCs/>
        </w:rPr>
        <w:t>5 milioni di euro per l’anno 2024, 20 milioni di euro per l’anno 2025, 25</w:t>
      </w:r>
      <w:r w:rsidRPr="00EC14DE">
        <w:rPr>
          <w:bCs/>
          <w:sz w:val="22"/>
          <w:szCs w:val="22"/>
        </w:rPr>
        <w:t xml:space="preserve"> milioni di euro per l’anno 2026 e 50 milioni di euro per ciascuno degli anni dal 2027</w:t>
      </w:r>
      <w:r w:rsidRPr="00EC14DE">
        <w:rPr>
          <w:sz w:val="22"/>
          <w:szCs w:val="22"/>
        </w:rPr>
        <w:t xml:space="preserve"> al 2029. Alla disciplina dell’utilizzo delle risorse del Fondo di cui al presente comma e alla relativa assegnazione si provvede, previa presentazione da parte delle Regioni di apposito Piano degli interventi da realizzare nel limite delle risorse disponibili, con il relativo cronoprogramma procedurale, i soggetti attuatori e i codici unici di progetto delle opere, con apposita ordinanza del Capo del Dipartimento della Protezione civile, di concerto con il Ministero dell’economia e delle finanze, nella quale sono indicate anche le modalità di monitoraggio degli interventi, ai sensi del decreto legislativo 29 dicembre 2011, n. 229, e le modalità di revoca in caso di mancato rispetto del cronoprogramma procedurale e di mancata alimentazione dei sistemi di monitoraggio o di mancato rispetto del cronoprogramma procedurale.</w:t>
      </w:r>
    </w:p>
    <w:p w14:paraId="5F97BB14" w14:textId="77777777" w:rsidR="00E64DEE" w:rsidRPr="00EC14DE" w:rsidRDefault="00702BB6" w:rsidP="00702BB6">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r>
      <w:r w:rsidR="00E64DEE" w:rsidRPr="00EC14DE">
        <w:t>(Finanziamento Piano triennale lotta attiva contro gli incendi boschivi)</w:t>
      </w:r>
    </w:p>
    <w:p w14:paraId="5AF0E0C1" w14:textId="77777777" w:rsidR="00E64DEE" w:rsidRPr="00EC14DE" w:rsidRDefault="00702BB6" w:rsidP="00702BB6">
      <w:pPr>
        <w:rPr>
          <w:strike/>
        </w:rPr>
      </w:pPr>
      <w:r w:rsidRPr="00EC14DE">
        <w:t xml:space="preserve">1. </w:t>
      </w:r>
      <w:r w:rsidR="00E64DEE" w:rsidRPr="00EC14DE">
        <w:t>Per la realizzazione del Piano nazionale di coordinamento per l'aggiornamento tecnologico e l'accrescimento della capacità operativa nelle azioni di previsione, prevenzione e lotta attiva contro gli incendi boschivi previsto dall’articolo 1, comma 3, del decreto-legge 8 settembre 2021, n. 120, nello stato di previsione del Ministero dell'economia e delle finanze è istituito un apposito fondo da trasferire alla Presidenza del Consiglio dei ministri - Dipartimento della protezione civile con una  dotazione  di 40 milioni di euro per l’anno 2022, 50 milioni di euro per l’anno 2023 e 60 milioni di euro per l’anno 2024, di cui 20 milioni di euro per ciascuno degli anni dal 2022 al 2024 destinati alle Regioni.</w:t>
      </w:r>
    </w:p>
    <w:p w14:paraId="65EB3AEE" w14:textId="77777777" w:rsidR="00E64DEE" w:rsidRPr="00EC14DE" w:rsidRDefault="00702BB6" w:rsidP="00702BB6">
      <w:r w:rsidRPr="00EC14DE">
        <w:t xml:space="preserve">2. </w:t>
      </w:r>
      <w:r w:rsidR="00E64DEE" w:rsidRPr="00EC14DE">
        <w:t>Ai fini dell’adozione del primo Piano nazionale speditivo relativo alle annualità 2022-2024, ai sensi dell’articolo 1, comma 4, del decreto-legge 8 settembre 2021, n. 120, con il decreto del Presidente del Consiglio dei ministri di cui all’articolo 1, comma 3, del medesimo decreto-legge 8 settembre 2021, n. 120, da emanare entro 30 giorni dall’entrata in vigore della presente legge, si provvede al riparto delle risorse del Fondo di cui al comma 1 tenuto conto anche delle risorse iscritte sui pertinenti capitoli del bilancio del Ministero dell’Interno finalizzate al rinnovo della flotta elicotteri, all’aggiornamento tecnologico dei velivoli e all’aumento della capacità operativa delle squadre del Corpo nazionale dei Vigili del Fuoco.</w:t>
      </w:r>
    </w:p>
    <w:p w14:paraId="0C40AF1B" w14:textId="77777777" w:rsidR="00CD0E64" w:rsidRPr="00EC14DE" w:rsidRDefault="00CD0E64" w:rsidP="0030430E">
      <w:pPr>
        <w:pStyle w:val="Titolo3"/>
      </w:pPr>
      <w:bookmarkStart w:id="111" w:name="_Hlk87091476"/>
      <w:r w:rsidRPr="00EC14DE">
        <w:t xml:space="preserve">ART. </w:t>
      </w:r>
      <w:r w:rsidRPr="00EC14DE">
        <w:fldChar w:fldCharType="begin"/>
      </w:r>
      <w:r w:rsidRPr="00EC14DE">
        <w:instrText xml:space="preserve"> AUTONUM  \* Arabic </w:instrText>
      </w:r>
      <w:r w:rsidRPr="00EC14DE">
        <w:fldChar w:fldCharType="end"/>
      </w:r>
      <w:r w:rsidRPr="00EC14DE">
        <w:br/>
        <w:t>(Ammodernamento parco infrastrutturale dell’Arma dei carabinieri</w:t>
      </w:r>
      <w:r w:rsidR="00596E71" w:rsidRPr="00EC14DE">
        <w:t xml:space="preserve"> e della Guardia di Finanza</w:t>
      </w:r>
      <w:r w:rsidRPr="00EC14DE">
        <w:t>)</w:t>
      </w:r>
      <w:r w:rsidR="00937018" w:rsidRPr="00EC14DE">
        <w:t xml:space="preserve"> </w:t>
      </w:r>
    </w:p>
    <w:p w14:paraId="288A4ED7" w14:textId="77777777" w:rsidR="00CD0E64" w:rsidRPr="00EC14DE" w:rsidRDefault="00CD0E64" w:rsidP="00CD0E64">
      <w:pPr>
        <w:pStyle w:val="wordsection1"/>
        <w:contextualSpacing/>
        <w:jc w:val="both"/>
        <w:rPr>
          <w:spacing w:val="-2"/>
          <w:sz w:val="22"/>
          <w:szCs w:val="22"/>
        </w:rPr>
      </w:pPr>
      <w:r w:rsidRPr="00EC14DE">
        <w:rPr>
          <w:spacing w:val="-2"/>
          <w:sz w:val="22"/>
          <w:szCs w:val="22"/>
        </w:rPr>
        <w:t xml:space="preserve">1. Per assicurare la funzionalità dei servizi di istituto dell’organizzazione territoriale e del Comando per la tutela forestale dell’Arma dei carabinieri, quale forza militare di polizia a competenza generale e in servizio permanente di pubblica sicurezza, capillarmente dislocata sul territorio nazionale, attraverso la realizzazione di un programma ultra decennale per la costruzione di nuove caserme demaniali con le annesse pertinenze e l’acquisto dei relativi arredi e la ristrutturazione, l'ampliamento, il completamento, l’esecuzione di interventi straordinari, l’efficientamento energetico e l’adeguamento antisismico di quelle già esistenti, comprese quelle confiscate alla criminalità organizzata, nello stato di previsione del Ministero della difesa è istituito un fondo con una dotazione di 20 milioni di euro per l’anno 2022, </w:t>
      </w:r>
      <w:r w:rsidR="00A87B43" w:rsidRPr="00EC14DE">
        <w:rPr>
          <w:spacing w:val="-2"/>
          <w:sz w:val="22"/>
          <w:szCs w:val="22"/>
        </w:rPr>
        <w:t xml:space="preserve">30 </w:t>
      </w:r>
      <w:r w:rsidRPr="00EC14DE">
        <w:rPr>
          <w:spacing w:val="-2"/>
          <w:sz w:val="22"/>
          <w:szCs w:val="22"/>
        </w:rPr>
        <w:t xml:space="preserve">milioni di euro per l’anno 2023 e 50 milioni di euro per ciascuno degli anni dal </w:t>
      </w:r>
      <w:r w:rsidR="00A87B43" w:rsidRPr="00EC14DE">
        <w:rPr>
          <w:spacing w:val="-2"/>
          <w:sz w:val="22"/>
          <w:szCs w:val="22"/>
        </w:rPr>
        <w:t xml:space="preserve">2024 </w:t>
      </w:r>
      <w:r w:rsidRPr="00EC14DE">
        <w:rPr>
          <w:spacing w:val="-2"/>
          <w:sz w:val="22"/>
          <w:szCs w:val="22"/>
        </w:rPr>
        <w:t>al 2036. Per l’utilizzo delle risorse del fondo, si applicano le seguenti disposizioni:</w:t>
      </w:r>
    </w:p>
    <w:p w14:paraId="5CFF5224" w14:textId="77777777" w:rsidR="00CD0E64" w:rsidRPr="00EC14DE" w:rsidRDefault="00CD0E64" w:rsidP="000831E3">
      <w:pPr>
        <w:pStyle w:val="wordsection1"/>
        <w:numPr>
          <w:ilvl w:val="0"/>
          <w:numId w:val="48"/>
        </w:numPr>
        <w:ind w:left="284" w:hanging="284"/>
        <w:contextualSpacing/>
        <w:jc w:val="both"/>
        <w:rPr>
          <w:spacing w:val="-2"/>
          <w:sz w:val="22"/>
          <w:szCs w:val="22"/>
        </w:rPr>
      </w:pPr>
      <w:r w:rsidRPr="00EC14DE">
        <w:rPr>
          <w:spacing w:val="-2"/>
          <w:sz w:val="22"/>
          <w:szCs w:val="22"/>
        </w:rPr>
        <w:t xml:space="preserve">le opere di edilizia previste dal programma sono considerate opere destinate alla difesa nazionale ai fini dell’applicazione del </w:t>
      </w:r>
      <w:r w:rsidRPr="00EC14DE">
        <w:rPr>
          <w:i/>
          <w:iCs/>
          <w:spacing w:val="-2"/>
          <w:sz w:val="22"/>
          <w:szCs w:val="22"/>
        </w:rPr>
        <w:t>capo I, del titolo VII del libro II del decreto legislativo 15 marzo 2010, n. 66;</w:t>
      </w:r>
    </w:p>
    <w:p w14:paraId="49FF0638" w14:textId="77777777" w:rsidR="00CD0E64" w:rsidRPr="00EC14DE" w:rsidRDefault="00CD0E64" w:rsidP="000831E3">
      <w:pPr>
        <w:pStyle w:val="wordsection1"/>
        <w:numPr>
          <w:ilvl w:val="0"/>
          <w:numId w:val="48"/>
        </w:numPr>
        <w:ind w:left="284" w:hanging="284"/>
        <w:contextualSpacing/>
        <w:jc w:val="both"/>
        <w:rPr>
          <w:spacing w:val="-2"/>
          <w:sz w:val="22"/>
          <w:szCs w:val="22"/>
        </w:rPr>
      </w:pPr>
      <w:r w:rsidRPr="00EC14DE">
        <w:rPr>
          <w:spacing w:val="-2"/>
          <w:sz w:val="22"/>
          <w:szCs w:val="22"/>
        </w:rPr>
        <w:t xml:space="preserve">si applicano le procedure in materia di contratti pubblici previste dai </w:t>
      </w:r>
      <w:r w:rsidRPr="00EC14DE">
        <w:rPr>
          <w:i/>
          <w:iCs/>
          <w:spacing w:val="-2"/>
          <w:sz w:val="22"/>
          <w:szCs w:val="22"/>
        </w:rPr>
        <w:t>titoli III e IV della parte II del decreto legge 31 maggio 2021, n. 77, convertito in legge 29 luglio 2021, n. 108;</w:t>
      </w:r>
    </w:p>
    <w:p w14:paraId="579E75B3" w14:textId="77777777" w:rsidR="00CD0E64" w:rsidRPr="00EC14DE" w:rsidRDefault="00CD0E64" w:rsidP="000831E3">
      <w:pPr>
        <w:pStyle w:val="wordsection1"/>
        <w:numPr>
          <w:ilvl w:val="0"/>
          <w:numId w:val="48"/>
        </w:numPr>
        <w:ind w:left="284" w:hanging="284"/>
        <w:contextualSpacing/>
        <w:jc w:val="both"/>
        <w:rPr>
          <w:spacing w:val="-2"/>
          <w:sz w:val="22"/>
          <w:szCs w:val="22"/>
        </w:rPr>
      </w:pPr>
      <w:r w:rsidRPr="00EC14DE">
        <w:rPr>
          <w:spacing w:val="-2"/>
          <w:sz w:val="22"/>
          <w:szCs w:val="22"/>
        </w:rPr>
        <w:t>la funzione di stazione appaltante è svolta dall’Agenzia del demanio, dai competenti provveditorati alle opere pubbliche o dagli enti locali, sulla base di accordi stipulati tra le amministrazioni interessate ai sensi dell’</w:t>
      </w:r>
      <w:r w:rsidRPr="00EC14DE">
        <w:rPr>
          <w:i/>
          <w:iCs/>
          <w:spacing w:val="-2"/>
          <w:sz w:val="22"/>
          <w:szCs w:val="22"/>
        </w:rPr>
        <w:t>art.15 della legge 7 agosto 1990, n. 241</w:t>
      </w:r>
      <w:r w:rsidRPr="00EC14DE">
        <w:rPr>
          <w:spacing w:val="-2"/>
          <w:sz w:val="22"/>
          <w:szCs w:val="22"/>
        </w:rPr>
        <w:t>;</w:t>
      </w:r>
    </w:p>
    <w:p w14:paraId="75162852" w14:textId="77777777" w:rsidR="00CD0E64" w:rsidRPr="00EC14DE" w:rsidRDefault="00CD0E64" w:rsidP="000831E3">
      <w:pPr>
        <w:pStyle w:val="wordsection1"/>
        <w:numPr>
          <w:ilvl w:val="0"/>
          <w:numId w:val="48"/>
        </w:numPr>
        <w:ind w:left="284" w:hanging="284"/>
        <w:contextualSpacing/>
        <w:jc w:val="both"/>
        <w:rPr>
          <w:spacing w:val="-2"/>
          <w:sz w:val="22"/>
          <w:szCs w:val="22"/>
        </w:rPr>
      </w:pPr>
      <w:r w:rsidRPr="00EC14DE">
        <w:rPr>
          <w:spacing w:val="-2"/>
          <w:sz w:val="22"/>
          <w:szCs w:val="22"/>
        </w:rPr>
        <w:t>l'approvazione dei progetti delle opere previste dalla presente legge equivale a tutti gli effetti a dichiarazione di pubblica utilità, nonché di urgenza e indifferibilità delle opere stesse;</w:t>
      </w:r>
    </w:p>
    <w:p w14:paraId="6E15B8E3" w14:textId="77777777" w:rsidR="00CD0E64" w:rsidRPr="00EC14DE" w:rsidRDefault="00CD0E64" w:rsidP="000831E3">
      <w:pPr>
        <w:pStyle w:val="wordsection1"/>
        <w:numPr>
          <w:ilvl w:val="0"/>
          <w:numId w:val="48"/>
        </w:numPr>
        <w:ind w:left="284" w:hanging="284"/>
        <w:contextualSpacing/>
        <w:jc w:val="both"/>
        <w:rPr>
          <w:spacing w:val="-2"/>
          <w:sz w:val="22"/>
          <w:szCs w:val="22"/>
        </w:rPr>
      </w:pPr>
      <w:r w:rsidRPr="00EC14DE">
        <w:rPr>
          <w:spacing w:val="-2"/>
          <w:sz w:val="22"/>
          <w:szCs w:val="22"/>
        </w:rPr>
        <w:t>il programma,</w:t>
      </w:r>
      <w:r w:rsidR="00AF3C7F" w:rsidRPr="00EC14DE">
        <w:rPr>
          <w:spacing w:val="-2"/>
          <w:sz w:val="22"/>
          <w:szCs w:val="22"/>
        </w:rPr>
        <w:t xml:space="preserve"> predisposto </w:t>
      </w:r>
      <w:r w:rsidR="005D64A6" w:rsidRPr="00EC14DE">
        <w:rPr>
          <w:spacing w:val="-2"/>
          <w:sz w:val="22"/>
          <w:szCs w:val="22"/>
        </w:rPr>
        <w:t xml:space="preserve">sulla base delle proposte </w:t>
      </w:r>
      <w:r w:rsidR="00AF3C7F" w:rsidRPr="00EC14DE">
        <w:rPr>
          <w:spacing w:val="-2"/>
          <w:sz w:val="22"/>
          <w:szCs w:val="22"/>
        </w:rPr>
        <w:t>d</w:t>
      </w:r>
      <w:r w:rsidR="005D64A6" w:rsidRPr="00EC14DE">
        <w:rPr>
          <w:spacing w:val="-2"/>
          <w:sz w:val="22"/>
          <w:szCs w:val="22"/>
        </w:rPr>
        <w:t>e</w:t>
      </w:r>
      <w:r w:rsidR="00AF3C7F" w:rsidRPr="00EC14DE">
        <w:rPr>
          <w:spacing w:val="-2"/>
          <w:sz w:val="22"/>
          <w:szCs w:val="22"/>
        </w:rPr>
        <w:t xml:space="preserve">l </w:t>
      </w:r>
      <w:r w:rsidRPr="00EC14DE">
        <w:rPr>
          <w:spacing w:val="-2"/>
          <w:sz w:val="22"/>
          <w:szCs w:val="22"/>
        </w:rPr>
        <w:t>Comando generale dell'Arma dei carabinieri relative, tra l’altro, all’individuazione e alla localizzazione degli interventi da eseguire e ai parametri progettuali da rispettare, è approvato con decreto del</w:t>
      </w:r>
      <w:r w:rsidR="0061670D" w:rsidRPr="00EC14DE">
        <w:rPr>
          <w:spacing w:val="-2"/>
          <w:sz w:val="22"/>
          <w:szCs w:val="22"/>
        </w:rPr>
        <w:t xml:space="preserve"> Presidente del </w:t>
      </w:r>
      <w:r w:rsidR="00144535" w:rsidRPr="00EC14DE">
        <w:rPr>
          <w:spacing w:val="-2"/>
          <w:sz w:val="22"/>
          <w:szCs w:val="22"/>
        </w:rPr>
        <w:t>C</w:t>
      </w:r>
      <w:r w:rsidR="0061670D" w:rsidRPr="00EC14DE">
        <w:rPr>
          <w:spacing w:val="-2"/>
          <w:sz w:val="22"/>
          <w:szCs w:val="22"/>
        </w:rPr>
        <w:t>onsiglio dei ministri, su proposta del</w:t>
      </w:r>
      <w:r w:rsidRPr="00EC14DE">
        <w:rPr>
          <w:spacing w:val="-2"/>
          <w:sz w:val="22"/>
          <w:szCs w:val="22"/>
        </w:rPr>
        <w:t xml:space="preserve"> Ministro delle infrastrutture e della mobilità sostenibili, di concerto con il Ministro de</w:t>
      </w:r>
      <w:r w:rsidR="0061670D" w:rsidRPr="00EC14DE">
        <w:rPr>
          <w:spacing w:val="-2"/>
          <w:sz w:val="22"/>
          <w:szCs w:val="22"/>
        </w:rPr>
        <w:t xml:space="preserve">ll'interno, </w:t>
      </w:r>
      <w:r w:rsidRPr="00EC14DE">
        <w:rPr>
          <w:spacing w:val="-2"/>
          <w:sz w:val="22"/>
          <w:szCs w:val="22"/>
        </w:rPr>
        <w:t xml:space="preserve">il Ministro della difesa </w:t>
      </w:r>
      <w:r w:rsidR="0061670D" w:rsidRPr="00EC14DE">
        <w:rPr>
          <w:spacing w:val="-2"/>
          <w:sz w:val="22"/>
          <w:szCs w:val="22"/>
        </w:rPr>
        <w:t xml:space="preserve">e il Ministero dell’economia e delle finanze, </w:t>
      </w:r>
      <w:r w:rsidRPr="00EC14DE">
        <w:rPr>
          <w:spacing w:val="-2"/>
          <w:sz w:val="22"/>
          <w:szCs w:val="22"/>
        </w:rPr>
        <w:t>sentita l’Agenzia del demanio, entro sei mesi dall'entrata in vigore della presente legge ed è comunicato alle competenti commissioni parlamentari entro trenta giorni dalla sua approvazione. Il Ministro delle infrastrutture e della mobilità sostenibili riferisce annualmente alle competenti commissioni parlamentari sullo stato di attuazione del programma;</w:t>
      </w:r>
    </w:p>
    <w:p w14:paraId="5262DA45" w14:textId="77777777" w:rsidR="00CD0E64" w:rsidRPr="00EC14DE" w:rsidRDefault="00CD0E64" w:rsidP="000831E3">
      <w:pPr>
        <w:pStyle w:val="wordsection1"/>
        <w:numPr>
          <w:ilvl w:val="0"/>
          <w:numId w:val="48"/>
        </w:numPr>
        <w:ind w:left="284" w:hanging="284"/>
        <w:contextualSpacing/>
        <w:jc w:val="both"/>
        <w:rPr>
          <w:spacing w:val="-2"/>
          <w:sz w:val="22"/>
          <w:szCs w:val="22"/>
        </w:rPr>
      </w:pPr>
      <w:r w:rsidRPr="00EC14DE">
        <w:rPr>
          <w:spacing w:val="-2"/>
          <w:sz w:val="22"/>
          <w:szCs w:val="22"/>
        </w:rPr>
        <w:t xml:space="preserve">gli interventi del programma devono essere realizzati ricorrendo preferibilmente a: stabili demaniali che potranno essere abbattuti e ricostruiti sullo stesso sedime; alla rifunzionalizzazione degli immobili confiscati alla criminalità organizzata ai sensi del </w:t>
      </w:r>
      <w:r w:rsidRPr="00EC14DE">
        <w:rPr>
          <w:i/>
          <w:iCs/>
          <w:spacing w:val="-2"/>
          <w:sz w:val="22"/>
          <w:szCs w:val="22"/>
        </w:rPr>
        <w:t>decreto legislativo 6 settembre 2011, n. 159</w:t>
      </w:r>
      <w:r w:rsidRPr="00EC14DE">
        <w:rPr>
          <w:spacing w:val="-2"/>
          <w:sz w:val="22"/>
          <w:szCs w:val="22"/>
        </w:rPr>
        <w:t>, anche attraverso il loro abbattimento e successiva ricostruzione laddove economicamente più vantaggioso; all’accasermamento nel medesimo stabile di reparti di diverse organizzazioni funzionali; all’acquisto, tramite l’Agenzia del demanio, di immobili privati già sede di presidi territoriali dell’Arma dei carabinieri in regime di locazione con conseguente adeguamento; ad aree o immobili di proprietà dei comuni interessati, acquisiti anche mediante permuta con aree o fabb</w:t>
      </w:r>
      <w:r w:rsidR="00B12D96" w:rsidRPr="00EC14DE">
        <w:rPr>
          <w:spacing w:val="-2"/>
          <w:sz w:val="22"/>
          <w:szCs w:val="22"/>
        </w:rPr>
        <w:t>ricati di proprietà dello Stato.</w:t>
      </w:r>
    </w:p>
    <w:p w14:paraId="355C6202" w14:textId="77777777" w:rsidR="00B12D96" w:rsidRPr="00EC14DE" w:rsidRDefault="00B12D96" w:rsidP="00004F29">
      <w:pPr>
        <w:pStyle w:val="wordsection1"/>
        <w:contextualSpacing/>
        <w:jc w:val="both"/>
        <w:rPr>
          <w:spacing w:val="-2"/>
          <w:sz w:val="22"/>
          <w:szCs w:val="22"/>
        </w:rPr>
      </w:pPr>
      <w:r w:rsidRPr="00EC14DE">
        <w:rPr>
          <w:spacing w:val="-2"/>
          <w:sz w:val="22"/>
          <w:szCs w:val="22"/>
        </w:rPr>
        <w:t>2. Per assicurare la funzionalità dei servizi di istituto della Guardia di finanza, quale forza di polizia a ordinamento militare con competenza generale in materia economica e finanziaria, capillarmente dislocata sul territorio nazionale, attraverso la realizzazione di un programma ultra decennale per la costruzione di nuove caserme demaniali con le annesse pertinenze e l’acquisto dei relativi arredi e la ristrutturazione, l’ampliamento, il completamento, l’esecuzione di interventi straordinari, l’efficientamento energetico e l’adeguamento antisismico di quelle già esistenti, comprese quelle confiscate alla criminalità organizzata, nello stato di previsione del Ministero dell’economia e delle finanze è istituito un fondo con una dotazione di 40 milioni di euro per ciascuno degli anni 2022 e 2023 e 20 milioni di euro per ciascuno degli anni dal 2024 al 2036. Per l’utilizzo delle risorse del fondo di cui al presente articolo si applicano le seguenti disposizioni:</w:t>
      </w:r>
    </w:p>
    <w:p w14:paraId="3428B182" w14:textId="77777777" w:rsidR="00B12D96" w:rsidRPr="00EC14DE" w:rsidRDefault="00B12D96" w:rsidP="00B12D96">
      <w:pPr>
        <w:pStyle w:val="wordsection1"/>
        <w:ind w:left="284" w:hanging="284"/>
        <w:contextualSpacing/>
        <w:jc w:val="both"/>
        <w:rPr>
          <w:spacing w:val="-2"/>
          <w:sz w:val="22"/>
          <w:szCs w:val="22"/>
        </w:rPr>
      </w:pPr>
      <w:r w:rsidRPr="00EC14DE">
        <w:rPr>
          <w:spacing w:val="-2"/>
          <w:sz w:val="22"/>
          <w:szCs w:val="22"/>
        </w:rPr>
        <w:t>a)</w:t>
      </w:r>
      <w:r w:rsidRPr="00EC14DE">
        <w:rPr>
          <w:spacing w:val="-2"/>
          <w:sz w:val="22"/>
          <w:szCs w:val="22"/>
        </w:rPr>
        <w:tab/>
        <w:t>le opere di edilizia previste dal programma sono considerate opere destinate alla difesa nazionale ai fini dell’applicazione del Libro II, Titolo VII, Capo I, del decreto legislativo 15 marzo 2010, n. 66;</w:t>
      </w:r>
    </w:p>
    <w:p w14:paraId="182E8658" w14:textId="77777777" w:rsidR="00B12D96" w:rsidRPr="00EC14DE" w:rsidRDefault="00B12D96" w:rsidP="00B12D96">
      <w:pPr>
        <w:pStyle w:val="wordsection1"/>
        <w:ind w:left="284" w:hanging="284"/>
        <w:contextualSpacing/>
        <w:jc w:val="both"/>
        <w:rPr>
          <w:spacing w:val="-2"/>
          <w:sz w:val="22"/>
          <w:szCs w:val="22"/>
        </w:rPr>
      </w:pPr>
      <w:r w:rsidRPr="00EC14DE">
        <w:rPr>
          <w:spacing w:val="-2"/>
          <w:sz w:val="22"/>
          <w:szCs w:val="22"/>
        </w:rPr>
        <w:t>b)</w:t>
      </w:r>
      <w:r w:rsidRPr="00EC14DE">
        <w:rPr>
          <w:spacing w:val="-2"/>
          <w:sz w:val="22"/>
          <w:szCs w:val="22"/>
        </w:rPr>
        <w:tab/>
        <w:t>si applicano le procedure in materia di contratti pubblici previste dalla Parte II, Titoli III e IV, del decreto-legge 31 maggio 2021, n. 77, convertito, con modificazioni, dalla legge 29 luglio 2021, n. 108;</w:t>
      </w:r>
    </w:p>
    <w:p w14:paraId="4BE4A7B3" w14:textId="77777777" w:rsidR="00B12D96" w:rsidRPr="00EC14DE" w:rsidRDefault="00B12D96" w:rsidP="00B12D96">
      <w:pPr>
        <w:pStyle w:val="wordsection1"/>
        <w:ind w:left="284" w:hanging="284"/>
        <w:contextualSpacing/>
        <w:jc w:val="both"/>
        <w:rPr>
          <w:spacing w:val="-2"/>
          <w:sz w:val="22"/>
          <w:szCs w:val="22"/>
        </w:rPr>
      </w:pPr>
      <w:r w:rsidRPr="00EC14DE">
        <w:rPr>
          <w:spacing w:val="-2"/>
          <w:sz w:val="22"/>
          <w:szCs w:val="22"/>
        </w:rPr>
        <w:t>c)</w:t>
      </w:r>
      <w:r w:rsidRPr="00EC14DE">
        <w:rPr>
          <w:spacing w:val="-2"/>
          <w:sz w:val="22"/>
          <w:szCs w:val="22"/>
        </w:rPr>
        <w:tab/>
        <w:t>la funzione di stazione appaltante è svolta dall’Agenzia del Demanio, dai competenti provveditorati alle opere pubbliche o dagli enti locali, sulla base di accordi stipulati tra le amministrazioni interessate ai sensi dell’articolo15 della legge 7 agosto 1990, n. 241;</w:t>
      </w:r>
    </w:p>
    <w:p w14:paraId="1E024DAE" w14:textId="77777777" w:rsidR="00B12D96" w:rsidRPr="00EC14DE" w:rsidRDefault="00B12D96" w:rsidP="00B12D96">
      <w:pPr>
        <w:pStyle w:val="wordsection1"/>
        <w:ind w:left="284" w:hanging="284"/>
        <w:contextualSpacing/>
        <w:jc w:val="both"/>
        <w:rPr>
          <w:spacing w:val="-2"/>
          <w:sz w:val="22"/>
          <w:szCs w:val="22"/>
        </w:rPr>
      </w:pPr>
      <w:r w:rsidRPr="00EC14DE">
        <w:rPr>
          <w:spacing w:val="-2"/>
          <w:sz w:val="22"/>
          <w:szCs w:val="22"/>
        </w:rPr>
        <w:t>d)</w:t>
      </w:r>
      <w:r w:rsidRPr="00EC14DE">
        <w:rPr>
          <w:spacing w:val="-2"/>
          <w:sz w:val="22"/>
          <w:szCs w:val="22"/>
        </w:rPr>
        <w:tab/>
        <w:t>l’approvazione dei progetti delle opere previste dal presente articolo equivale, a tutti gli effetti, a dichiarazione di pubblica utilità nonché di urgenza e indifferibilità delle opere stesse;</w:t>
      </w:r>
    </w:p>
    <w:p w14:paraId="596AC2E8" w14:textId="77777777" w:rsidR="00B12D96" w:rsidRPr="00EC14DE" w:rsidRDefault="00B12D96" w:rsidP="00B12D96">
      <w:pPr>
        <w:pStyle w:val="wordsection1"/>
        <w:ind w:left="284" w:hanging="284"/>
        <w:contextualSpacing/>
        <w:jc w:val="both"/>
        <w:rPr>
          <w:spacing w:val="-2"/>
          <w:sz w:val="22"/>
          <w:szCs w:val="22"/>
        </w:rPr>
      </w:pPr>
      <w:r w:rsidRPr="00EC14DE">
        <w:rPr>
          <w:spacing w:val="-2"/>
          <w:sz w:val="22"/>
          <w:szCs w:val="22"/>
        </w:rPr>
        <w:t>e)</w:t>
      </w:r>
      <w:r w:rsidRPr="00EC14DE">
        <w:rPr>
          <w:spacing w:val="-2"/>
          <w:sz w:val="22"/>
          <w:szCs w:val="22"/>
        </w:rPr>
        <w:tab/>
        <w:t>il programma, predisposto dal Comando generale della Guardia di finanza e relativo, tra l’altro, all’individuazione e alla localizzazione degli interventi da eseguire e ai parametri progettuali da rispettare, è approvato con decreto del Ministro delle infrastrutture e della mobilità sostenibili, di concerto con il Ministro dell’interno e il Ministro dell’economia e delle finanze, sentita l’Agenzia del demanio, entro sei mesi dall’entrata in vigore della presente legge ed è comunicato alle competenti commissioni parlamentari entro trenta giorni dalla sua approvazione. Il Ministro delle infrastrutture e della mobilità sostenibili riferisce annualmente alle competenti commissioni parlamentari sullo stato di attuazione del programma;</w:t>
      </w:r>
    </w:p>
    <w:p w14:paraId="6FC42F0C" w14:textId="77777777" w:rsidR="00B12D96" w:rsidRPr="00EC14DE" w:rsidRDefault="00B12D96" w:rsidP="00B12D96">
      <w:pPr>
        <w:pStyle w:val="wordsection1"/>
        <w:ind w:left="284" w:hanging="284"/>
        <w:contextualSpacing/>
        <w:jc w:val="both"/>
        <w:rPr>
          <w:spacing w:val="-2"/>
          <w:sz w:val="22"/>
          <w:szCs w:val="22"/>
        </w:rPr>
      </w:pPr>
      <w:r w:rsidRPr="00EC14DE">
        <w:rPr>
          <w:spacing w:val="-2"/>
          <w:sz w:val="22"/>
          <w:szCs w:val="22"/>
        </w:rPr>
        <w:t>f)</w:t>
      </w:r>
      <w:r w:rsidRPr="00EC14DE">
        <w:rPr>
          <w:spacing w:val="-2"/>
          <w:sz w:val="22"/>
          <w:szCs w:val="22"/>
        </w:rPr>
        <w:tab/>
        <w:t>gli interventi del programma devono essere realizzati ricorrendo preferibilmente a: stabili demaniali che potranno essere abbattuti e ricostruiti sullo stesso sedime; alla rifunzionalizzazione degli immobili confiscati alla criminalità organizzata, ai sensi del decreto legislativo 6 settembre 2011, n. 159, anche attraverso il loro abbattimento e successiva ricostruzione, laddove economicamente più vantaggioso; all’accasermamento nel medesimo stabile di comandi o reparti di diverse organizzazioni funzionali; all’acquisto, tramite l’Agenzia del demanio, di immobili privati già sede di comandi o reparti della Guardia di finanza in regime di locazione con conseguente adeguamento; ad aree o immobili di proprietà dei comuni interessati, acquisiti anche mediante permuta con aree o fabbricati di proprietà dello Stato.</w:t>
      </w:r>
    </w:p>
    <w:p w14:paraId="544DC75C" w14:textId="77777777" w:rsidR="00F851FA" w:rsidRPr="00EC14DE" w:rsidRDefault="00F851FA" w:rsidP="00F851FA">
      <w:pPr>
        <w:pStyle w:val="wordsection1"/>
        <w:contextualSpacing/>
        <w:jc w:val="both"/>
        <w:rPr>
          <w:spacing w:val="-2"/>
          <w:sz w:val="22"/>
          <w:szCs w:val="22"/>
        </w:rPr>
      </w:pPr>
      <w:r w:rsidRPr="00EC14DE">
        <w:rPr>
          <w:spacing w:val="-2"/>
          <w:sz w:val="22"/>
          <w:szCs w:val="22"/>
        </w:rPr>
        <w:t>3. Gli interventi dei Programmi di cui ai commi 1 e 2 devono essere identificati dal codice unico di progetto (CUP) ai sensi dell’articolo 11 della legge 16 gennaio 2003, n. 3, e monitorati sulla base di quanto disposto dal decreto legislativo 29 dicembre 2011, n.229.</w:t>
      </w:r>
    </w:p>
    <w:bookmarkEnd w:id="111"/>
    <w:p w14:paraId="46E5F2C2" w14:textId="77777777" w:rsidR="00443C09" w:rsidRPr="00EC14DE" w:rsidRDefault="00443C09"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(Fondo </w:t>
      </w:r>
      <w:r w:rsidR="00A6007A" w:rsidRPr="00EC14DE">
        <w:t xml:space="preserve">per il </w:t>
      </w:r>
      <w:r w:rsidR="00FF43A2" w:rsidRPr="00EC14DE">
        <w:t xml:space="preserve">sostegno </w:t>
      </w:r>
      <w:r w:rsidR="00A6007A" w:rsidRPr="00EC14DE">
        <w:t xml:space="preserve">alla </w:t>
      </w:r>
      <w:r w:rsidR="00FF43A2" w:rsidRPr="00EC14DE">
        <w:t>t</w:t>
      </w:r>
      <w:r w:rsidR="00EA0DBD" w:rsidRPr="00EC14DE">
        <w:rPr>
          <w:rFonts w:eastAsia="Times New Roman" w:cs="Times New Roman"/>
          <w:iCs/>
          <w:szCs w:val="22"/>
          <w:lang w:eastAsia="it-IT"/>
        </w:rPr>
        <w:t>ransizione industriale</w:t>
      </w:r>
      <w:r w:rsidRPr="00EC14DE">
        <w:t xml:space="preserve">) </w:t>
      </w:r>
    </w:p>
    <w:p w14:paraId="7E9ECA40" w14:textId="77777777" w:rsidR="00020116" w:rsidRPr="00EC14DE" w:rsidRDefault="00020116" w:rsidP="007C594F">
      <w:pPr>
        <w:widowControl w:val="0"/>
        <w:rPr>
          <w:rFonts w:cs="Times New Roman"/>
        </w:rPr>
      </w:pPr>
      <w:r w:rsidRPr="00EC14DE">
        <w:rPr>
          <w:rFonts w:cs="Times New Roman"/>
        </w:rPr>
        <w:t xml:space="preserve">1. Allo scopo di favorire l’adeguamento del sistema produttivo nazionale alle politiche europee in materia di lotta ai cambiamenti climatici è istituito nello stato di previsione del Ministero dello sviluppo economico il Fondo per </w:t>
      </w:r>
      <w:r w:rsidR="00A6007A" w:rsidRPr="00EC14DE">
        <w:rPr>
          <w:rFonts w:cs="Times New Roman"/>
        </w:rPr>
        <w:t>il sostegno al</w:t>
      </w:r>
      <w:r w:rsidRPr="00EC14DE">
        <w:rPr>
          <w:rFonts w:cs="Times New Roman"/>
        </w:rPr>
        <w:t>la transizione industriale con una dotazione di 150 milioni di euro</w:t>
      </w:r>
      <w:r w:rsidR="00810708" w:rsidRPr="00EC14DE">
        <w:rPr>
          <w:rFonts w:cs="Times New Roman"/>
        </w:rPr>
        <w:t xml:space="preserve"> a decorrere dall’anno 2022</w:t>
      </w:r>
      <w:r w:rsidRPr="00EC14DE">
        <w:rPr>
          <w:rFonts w:cs="Times New Roman"/>
        </w:rPr>
        <w:t>. A valere sulle risorse del fondo possono essere concesse agevolazioni alle imprese, con particolare riguardo a quelle che operano in settori ad alta intensità energetica, per la realizzazione di investimenti per l’efficientamento energetico, per il riutilizzo per impieghi produttivi di materie prime e di materie riciclate, nonché per la cattura, il sequestro e il riutilizzo della CO</w:t>
      </w:r>
      <w:r w:rsidRPr="00EC14DE">
        <w:rPr>
          <w:rFonts w:cs="Times New Roman"/>
          <w:vertAlign w:val="subscript"/>
        </w:rPr>
        <w:t>2</w:t>
      </w:r>
      <w:r w:rsidRPr="00EC14DE">
        <w:rPr>
          <w:rFonts w:cs="Times New Roman"/>
        </w:rPr>
        <w:t>.</w:t>
      </w:r>
    </w:p>
    <w:p w14:paraId="2CC1E7EC" w14:textId="77777777" w:rsidR="00020116" w:rsidRPr="00EC14DE" w:rsidRDefault="00020116" w:rsidP="007C594F">
      <w:pPr>
        <w:widowControl w:val="0"/>
        <w:rPr>
          <w:rFonts w:cs="Times New Roman"/>
        </w:rPr>
      </w:pPr>
      <w:r w:rsidRPr="00EC14DE">
        <w:rPr>
          <w:rFonts w:cs="Times New Roman"/>
        </w:rPr>
        <w:t xml:space="preserve">2. </w:t>
      </w:r>
      <w:r w:rsidR="00810708" w:rsidRPr="00EC14DE">
        <w:rPr>
          <w:rFonts w:cs="Times New Roman"/>
        </w:rPr>
        <w:t>Con decreto del Ministro dello sviluppo economico, da adottarsi di concerto con il Ministro dell’economia e delle finanze e con il Ministro per la transizione ecologica, entro 30 giorni dalla data di entrata in vigore della presente norma sono adottate le disposizioni attuative del presente articolo</w:t>
      </w:r>
      <w:r w:rsidRPr="00EC14DE">
        <w:rPr>
          <w:rFonts w:cs="Times New Roman"/>
        </w:rPr>
        <w:t xml:space="preserve">. </w:t>
      </w:r>
    </w:p>
    <w:p w14:paraId="25EB0727" w14:textId="77777777" w:rsidR="00F476C2" w:rsidRPr="00EC14DE" w:rsidRDefault="00DD4398"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(Fondo </w:t>
      </w:r>
      <w:r w:rsidRPr="00EC14DE">
        <w:rPr>
          <w:rFonts w:eastAsia="Times New Roman"/>
          <w:iCs/>
          <w:lang w:eastAsia="it-IT"/>
        </w:rPr>
        <w:t>Italiano per il Clima</w:t>
      </w:r>
      <w:r w:rsidRPr="00EC14DE">
        <w:t>)</w:t>
      </w:r>
    </w:p>
    <w:p w14:paraId="447E2268" w14:textId="77777777" w:rsidR="00AF1DB1" w:rsidRPr="00EC14DE" w:rsidRDefault="00AF1DB1" w:rsidP="00AF1DB1">
      <w:pPr>
        <w:widowControl w:val="0"/>
        <w:rPr>
          <w:rFonts w:eastAsia="Times New Roman" w:cs="Times New Roman"/>
          <w:lang w:eastAsia="it-IT"/>
        </w:rPr>
      </w:pPr>
      <w:r w:rsidRPr="00EC14DE">
        <w:rPr>
          <w:rFonts w:eastAsia="Times New Roman" w:cs="Times New Roman"/>
          <w:lang w:eastAsia="it-IT"/>
        </w:rPr>
        <w:t xml:space="preserve">1. È istituito, nello stato di previsione del Ministero della transizione ecologica, un Fondo rotativo (nel seguito “Fondo”) con dotazione pari a 840 </w:t>
      </w:r>
      <w:r w:rsidRPr="00EC14DE">
        <w:rPr>
          <w:rFonts w:cs="Times New Roman"/>
        </w:rPr>
        <w:t>milioni per ciascuno degli anni dal 2022 al 2026</w:t>
      </w:r>
      <w:r w:rsidRPr="00EC14DE">
        <w:rPr>
          <w:rFonts w:eastAsia="Times New Roman" w:cs="Times New Roman"/>
          <w:lang w:eastAsia="it-IT"/>
        </w:rPr>
        <w:t xml:space="preserve"> </w:t>
      </w:r>
      <w:r w:rsidRPr="00EC14DE">
        <w:rPr>
          <w:rFonts w:cs="Times New Roman"/>
        </w:rPr>
        <w:t>e di 40 milioni di euro a decorrere dal 2027.</w:t>
      </w:r>
      <w:r w:rsidRPr="00EC14DE">
        <w:rPr>
          <w:rFonts w:eastAsia="Times New Roman" w:cs="Times New Roman"/>
          <w:lang w:eastAsia="it-IT"/>
        </w:rPr>
        <w:t xml:space="preserve"> Il Fondo è destinato al finanziamento di interventi a favore di soggetti privati e pubblici, </w:t>
      </w:r>
      <w:r w:rsidRPr="00EC14DE">
        <w:rPr>
          <w:rFonts w:cs="Times New Roman"/>
        </w:rPr>
        <w:t>volti a contribuire al</w:t>
      </w:r>
      <w:r w:rsidRPr="00EC14DE">
        <w:rPr>
          <w:rFonts w:eastAsia="Times New Roman" w:cs="Times New Roman"/>
          <w:lang w:eastAsia="it-IT"/>
        </w:rPr>
        <w:t xml:space="preserve"> raggiungimento degli </w:t>
      </w:r>
      <w:bookmarkStart w:id="112" w:name="_Hlk84317277"/>
      <w:r w:rsidRPr="00EC14DE">
        <w:rPr>
          <w:rFonts w:eastAsia="Times New Roman" w:cs="Times New Roman"/>
          <w:lang w:eastAsia="it-IT"/>
        </w:rPr>
        <w:t xml:space="preserve">obiettivi stabiliti nell’ambito degli </w:t>
      </w:r>
      <w:bookmarkStart w:id="113" w:name="_Hlk85813912"/>
      <w:r w:rsidRPr="00EC14DE">
        <w:rPr>
          <w:rFonts w:eastAsia="Times New Roman" w:cs="Times New Roman"/>
          <w:lang w:eastAsia="it-IT"/>
        </w:rPr>
        <w:t xml:space="preserve">accordi internazionali sul clima e tutela ambientale dei quali l’Italia è parte. </w:t>
      </w:r>
      <w:bookmarkEnd w:id="112"/>
      <w:bookmarkEnd w:id="113"/>
      <w:r w:rsidRPr="00EC14DE">
        <w:rPr>
          <w:rFonts w:eastAsia="Times New Roman" w:cs="Times New Roman"/>
          <w:lang w:eastAsia="it-IT"/>
        </w:rPr>
        <w:t xml:space="preserve">Gli interventi del Fondo sono realizzati, in conformità con le finalità e i principi ispiratori della legge 11 agosto 2014, n. 125 e con gli indirizzi della politica estera dell’Italia, a favore di Paesi destinatari di aiuto pubblico allo sviluppo individuati dal Comitato di aiuto allo sviluppo </w:t>
      </w:r>
      <w:bookmarkStart w:id="114" w:name="_Hlk81238165"/>
      <w:r w:rsidRPr="00EC14DE">
        <w:rPr>
          <w:rFonts w:eastAsia="Times New Roman" w:cs="Times New Roman"/>
          <w:lang w:eastAsia="it-IT"/>
        </w:rPr>
        <w:t>dell’Organizzazione per la cooperazione e lo sviluppo economico (OCSE-DAC)</w:t>
      </w:r>
      <w:bookmarkStart w:id="115" w:name="_Hlk81221891"/>
      <w:bookmarkEnd w:id="114"/>
      <w:r w:rsidRPr="00EC14DE">
        <w:rPr>
          <w:rFonts w:eastAsia="Times New Roman" w:cs="Times New Roman"/>
          <w:lang w:eastAsia="it-IT"/>
        </w:rPr>
        <w:t>. Con decreto del Ministro della transizione ecologica e del Ministro degli affari esteri e della cooperazione internazionale, di concerto con il Ministro dell’economia e delle finanze possono essere individuati ulteriori Paesi in cui gli interventi il Fondo possono essere realizzati, conformemente ai predetti accordi internazionali. Con uno o più decreti del Ministro della transizione ecologica, di concerto con il Ministro degli affari esteri e della cooperazione internazionale e con il Ministro dell’economia e delle finanze, sono stabilite le condizioni, i criteri e le modalità per l’utilizzo delle risorse del Fondo.</w:t>
      </w:r>
    </w:p>
    <w:bookmarkEnd w:id="115"/>
    <w:p w14:paraId="35FAD54F" w14:textId="77777777" w:rsidR="00AF1DB1" w:rsidRPr="00EC14DE" w:rsidRDefault="00AF1DB1" w:rsidP="00AF1DB1">
      <w:pPr>
        <w:widowControl w:val="0"/>
        <w:rPr>
          <w:rFonts w:eastAsia="Times New Roman" w:cs="Times New Roman"/>
          <w:lang w:eastAsia="it-IT"/>
        </w:rPr>
      </w:pPr>
      <w:r w:rsidRPr="00EC14DE">
        <w:rPr>
          <w:rFonts w:eastAsia="Times New Roman" w:cs="Times New Roman"/>
          <w:lang w:eastAsia="it-IT"/>
        </w:rPr>
        <w:t xml:space="preserve">2. </w:t>
      </w:r>
      <w:bookmarkStart w:id="116" w:name="_Hlk80731995"/>
      <w:r w:rsidRPr="00EC14DE">
        <w:rPr>
          <w:rFonts w:eastAsia="Times New Roman" w:cs="Times New Roman"/>
          <w:lang w:eastAsia="it-IT"/>
        </w:rPr>
        <w:t xml:space="preserve">Ai fini di cui al comma 1, il Fondo può: </w:t>
      </w:r>
    </w:p>
    <w:p w14:paraId="72D61642" w14:textId="77777777" w:rsidR="00AF1DB1" w:rsidRPr="00EC14DE" w:rsidRDefault="00AF1DB1" w:rsidP="00AF1DB1">
      <w:pPr>
        <w:widowControl w:val="0"/>
        <w:rPr>
          <w:rFonts w:eastAsia="Times New Roman" w:cs="Times New Roman"/>
          <w:lang w:eastAsia="it-IT"/>
        </w:rPr>
      </w:pPr>
      <w:r w:rsidRPr="00EC14DE">
        <w:rPr>
          <w:rFonts w:eastAsia="Times New Roman" w:cs="Times New Roman"/>
          <w:lang w:eastAsia="it-IT"/>
        </w:rPr>
        <w:t xml:space="preserve">a) assumere capitale di rischio mediante fondi di investimento, fondi di fondi o capitale di debito; </w:t>
      </w:r>
    </w:p>
    <w:p w14:paraId="1A20C4A9" w14:textId="77777777" w:rsidR="00AF1DB1" w:rsidRPr="00EC14DE" w:rsidRDefault="00AF1DB1" w:rsidP="00AF1DB1">
      <w:pPr>
        <w:widowControl w:val="0"/>
        <w:rPr>
          <w:rFonts w:eastAsia="Times New Roman" w:cs="Times New Roman"/>
          <w:lang w:eastAsia="it-IT"/>
        </w:rPr>
      </w:pPr>
      <w:r w:rsidRPr="00EC14DE">
        <w:rPr>
          <w:rFonts w:eastAsia="Times New Roman" w:cs="Times New Roman"/>
          <w:lang w:eastAsia="it-IT"/>
        </w:rPr>
        <w:t>b) erogare finanziamenti indiretti mediante istituzioni finanziarie, incluse istituzioni finanziarie europee, istituzioni finanziarie multinazionali e sovranazionali, fondi multilaterali di sviluppo;</w:t>
      </w:r>
    </w:p>
    <w:p w14:paraId="76254369" w14:textId="77777777" w:rsidR="00AF1DB1" w:rsidRPr="00EC14DE" w:rsidRDefault="00AF1DB1" w:rsidP="00AF1DB1">
      <w:pPr>
        <w:widowControl w:val="0"/>
        <w:rPr>
          <w:rFonts w:eastAsia="Times New Roman" w:cs="Times New Roman"/>
          <w:lang w:eastAsia="it-IT"/>
        </w:rPr>
      </w:pPr>
      <w:r w:rsidRPr="00EC14DE">
        <w:rPr>
          <w:rFonts w:eastAsia="Times New Roman" w:cs="Times New Roman"/>
          <w:lang w:eastAsia="it-IT"/>
        </w:rPr>
        <w:t>c) erogare finanziamenti diretti di iniziative e programmi ad elevato impatto, come definito dal Comitato di indirizzo di cui al comma 8;</w:t>
      </w:r>
    </w:p>
    <w:p w14:paraId="0E97FFF2" w14:textId="77777777" w:rsidR="00AF1DB1" w:rsidRPr="00EC14DE" w:rsidRDefault="00AF1DB1" w:rsidP="00AF1DB1">
      <w:pPr>
        <w:widowControl w:val="0"/>
        <w:rPr>
          <w:rFonts w:eastAsia="Times New Roman" w:cs="Times New Roman"/>
          <w:lang w:eastAsia="it-IT"/>
        </w:rPr>
      </w:pPr>
      <w:r w:rsidRPr="00EC14DE">
        <w:rPr>
          <w:rFonts w:eastAsia="Times New Roman" w:cs="Times New Roman"/>
          <w:lang w:eastAsia="it-IT"/>
        </w:rPr>
        <w:t xml:space="preserve">d) </w:t>
      </w:r>
      <w:bookmarkEnd w:id="116"/>
      <w:r w:rsidRPr="00EC14DE">
        <w:rPr>
          <w:rFonts w:eastAsia="Times New Roman" w:cs="Times New Roman"/>
          <w:lang w:eastAsia="it-IT"/>
        </w:rPr>
        <w:t>erogare garanzie, su finanziamenti concessi da soggetti terzi autorizzati all’esercizio del credito</w:t>
      </w:r>
      <w:r w:rsidR="00D303D8" w:rsidRPr="00EC14DE">
        <w:rPr>
          <w:rFonts w:eastAsia="Times New Roman" w:cs="Times New Roman"/>
          <w:lang w:eastAsia="it-IT"/>
        </w:rPr>
        <w:t xml:space="preserve">, entro il limite massimo del 50% </w:t>
      </w:r>
      <w:r w:rsidRPr="00EC14DE">
        <w:rPr>
          <w:rFonts w:eastAsia="Times New Roman" w:cs="Times New Roman"/>
          <w:lang w:eastAsia="it-IT"/>
        </w:rPr>
        <w:t>dell’importo finanziato, entro un importo massimo non eccedente il 50% delle risorse stanziate ai sensi del comma 1, su operazioni finanziarie differenti da quelle realizzate ai sensi delle lettere a), b) e c), a condizioni di mercato conformemente alla Comunicazione della Commissione sull’applicazione degli articoli 87 e 88 del trattato CE agli aiuti di Stato concessi sotto forma di garanzie. La garanzia è a prima richiesta, esplicita, irrevocabile, e conforme ai requisiti previsti dalla normativa di vigilanza prudenziale ai fini della migliore mitigazione del rischio. A copertura delle perdite attese, il Gestore istituisce apposito fondo di accantonamento costituito con parte delle risorse di cui al comma 1</w:t>
      </w:r>
      <w:r w:rsidR="004F32D6" w:rsidRPr="00EC14DE">
        <w:rPr>
          <w:rFonts w:eastAsia="Times New Roman" w:cs="Times New Roman"/>
          <w:lang w:eastAsia="it-IT"/>
        </w:rPr>
        <w:t xml:space="preserve">, </w:t>
      </w:r>
      <w:r w:rsidRPr="00EC14DE">
        <w:rPr>
          <w:rFonts w:eastAsia="Times New Roman" w:cs="Times New Roman"/>
          <w:lang w:eastAsia="it-IT"/>
        </w:rPr>
        <w:t>a cui affluiscono i premi versati al Fondo a fronte del rilascio delle garanzie. Le obbligazioni assunte dal Fondo Italiano per il Clima ai sensi della presente lettera sono assistite dalla garanzia dello Stato, quale garanzia di ultima istanza che opera in caso di accertata insolvenza del Fondo in relazione agli impegni assunti dal Fondo medesimo ai sensi del presente articolo. La garanzia dello Stato opera limitatamente a quanto dovuto dal Fondo, ridotto di eventuali pagamenti già effettuati dallo stesso. Con apposito decreto del Ministro dell’economia e delle finanze, di concerto con il Ministro della transizione ecologica e con il Ministro degli affari esteri e della cooperazione internazionale, sono definite le modalità di escussione della garanzia di ultima istanza da avviarsi successivamente all’accertamento da parte di Cassa Depositi e Prestiti S.p.A., gestore del Fondo, dell’incapienza del medesimo Fondo. Non è ammesso il ricorso diretto dei beneficiari degli interventi del Fondo alla garanzia di ultima istanza dello Stato.</w:t>
      </w:r>
      <w:r w:rsidRPr="00EC14DE">
        <w:t xml:space="preserve"> </w:t>
      </w:r>
      <w:r w:rsidRPr="00EC14DE">
        <w:rPr>
          <w:rFonts w:eastAsia="Times New Roman" w:cs="Times New Roman"/>
          <w:lang w:eastAsia="it-IT"/>
        </w:rPr>
        <w:t>La garanzia di ultima istanza dello Stato è inserita nell’elenco di cui all’articolo 31, della legge 31 dicembre 2009, n. 196.</w:t>
      </w:r>
    </w:p>
    <w:p w14:paraId="7842907F" w14:textId="77777777" w:rsidR="00AF1DB1" w:rsidRPr="00EC14DE" w:rsidRDefault="00AF1DB1" w:rsidP="00AF1DB1">
      <w:pPr>
        <w:widowControl w:val="0"/>
        <w:rPr>
          <w:rFonts w:eastAsia="Times New Roman" w:cs="Times New Roman"/>
          <w:lang w:eastAsia="it-IT"/>
        </w:rPr>
      </w:pPr>
      <w:r w:rsidRPr="00EC14DE">
        <w:rPr>
          <w:rFonts w:eastAsia="Times New Roman" w:cs="Times New Roman"/>
          <w:lang w:eastAsia="it-IT"/>
        </w:rPr>
        <w:t>3. Una quota del fondo, nel limite di 40 milioni di euro annui a decorrere dal 2022, è destinata alla erogazione di misure a fondo perduto nonché agli oneri e alle spese di gestione del fondo di cui al comma 5.</w:t>
      </w:r>
    </w:p>
    <w:p w14:paraId="2CAE5113" w14:textId="77777777" w:rsidR="00AF1DB1" w:rsidRPr="00EC14DE" w:rsidRDefault="00AF1DB1" w:rsidP="00AF1DB1">
      <w:pPr>
        <w:widowControl w:val="0"/>
        <w:rPr>
          <w:rFonts w:eastAsia="Times New Roman" w:cs="Times New Roman"/>
          <w:lang w:eastAsia="it-IT"/>
        </w:rPr>
      </w:pPr>
      <w:r w:rsidRPr="00EC14DE">
        <w:rPr>
          <w:rFonts w:eastAsia="Times New Roman" w:cs="Times New Roman"/>
          <w:lang w:eastAsia="it-IT"/>
        </w:rPr>
        <w:t>4. Il Fondo può intervenire anche in cofinanziamento con istituzioni finanziarie europee, istituzioni finanziarie multinazionali e sovranazionali, fondi multilaterali di sviluppo.</w:t>
      </w:r>
    </w:p>
    <w:p w14:paraId="3668FFF9" w14:textId="77777777" w:rsidR="00AF1DB1" w:rsidRPr="00EC14DE" w:rsidRDefault="00AF1DB1" w:rsidP="00AF1DB1">
      <w:pPr>
        <w:widowControl w:val="0"/>
        <w:rPr>
          <w:rFonts w:eastAsia="Times New Roman" w:cs="Times New Roman"/>
          <w:lang w:eastAsia="it-IT"/>
        </w:rPr>
      </w:pPr>
      <w:r w:rsidRPr="00EC14DE">
        <w:rPr>
          <w:rFonts w:eastAsia="Times New Roman" w:cs="Times New Roman"/>
          <w:lang w:eastAsia="it-IT"/>
        </w:rPr>
        <w:t>5. Il Fondo è gestito da Cassa Depositi e Prestiti S.p.A. sulla base di apposita convenzione da stipulare con il Ministero della transizione ecologica che disciplina l’impiego delle risorse del Fondo in coerenza con il piano di attività di cui al comma 8, e gli oneri e le spese di gestione che sono a carico del Fondo medesimo.</w:t>
      </w:r>
      <w:r w:rsidRPr="00EC14DE">
        <w:t xml:space="preserve"> </w:t>
      </w:r>
      <w:r w:rsidRPr="00EC14DE">
        <w:rPr>
          <w:rFonts w:eastAsia="Times New Roman" w:cs="Times New Roman"/>
          <w:lang w:eastAsia="it-IT"/>
        </w:rPr>
        <w:t>Per la gestione del fondo è autorizzata l’apertura di apposito conto corrente di tesoreria centrale.</w:t>
      </w:r>
    </w:p>
    <w:p w14:paraId="7530C487" w14:textId="77777777" w:rsidR="00AF1DB1" w:rsidRPr="00EC14DE" w:rsidRDefault="00AF1DB1" w:rsidP="00AF1DB1">
      <w:pPr>
        <w:widowControl w:val="0"/>
        <w:rPr>
          <w:rFonts w:eastAsia="Times New Roman" w:cs="Times New Roman"/>
          <w:lang w:eastAsia="it-IT"/>
        </w:rPr>
      </w:pPr>
      <w:r w:rsidRPr="00EC14DE">
        <w:rPr>
          <w:rFonts w:eastAsia="Times New Roman" w:cs="Times New Roman"/>
          <w:lang w:eastAsia="it-IT"/>
        </w:rPr>
        <w:t xml:space="preserve">6. </w:t>
      </w:r>
      <w:bookmarkStart w:id="117" w:name="_Hlk80733765"/>
      <w:r w:rsidRPr="00EC14DE">
        <w:rPr>
          <w:rFonts w:eastAsia="Times New Roman" w:cs="Times New Roman"/>
          <w:lang w:eastAsia="it-IT"/>
        </w:rPr>
        <w:t>Al fine di contribuire al raggiungimento degli obiettivi del Fondo, affiancandone l’operatività e potenziandone la capacità d’impatto</w:t>
      </w:r>
      <w:bookmarkEnd w:id="117"/>
      <w:r w:rsidRPr="00EC14DE">
        <w:rPr>
          <w:rFonts w:eastAsia="Times New Roman" w:cs="Times New Roman"/>
          <w:lang w:eastAsia="it-IT"/>
        </w:rPr>
        <w:t xml:space="preserve">, </w:t>
      </w:r>
      <w:r w:rsidRPr="00EC14DE">
        <w:rPr>
          <w:rFonts w:cs="Times New Roman"/>
        </w:rPr>
        <w:t xml:space="preserve">Cassa Depositi e Prestiti S.p.A. </w:t>
      </w:r>
      <w:r w:rsidRPr="00EC14DE">
        <w:rPr>
          <w:rFonts w:eastAsia="Times New Roman" w:cs="Times New Roman"/>
          <w:lang w:eastAsia="it-IT"/>
        </w:rPr>
        <w:t xml:space="preserve">può impiegare le risorse della gestione separata di cui all’articolo 5, comma 8, del decreto-legge 30 settembre 2003, n. 269, convertito, con modificazioni, dalla legge 24 novembre 2003, n. 326, </w:t>
      </w:r>
      <w:bookmarkStart w:id="118" w:name="_Hlk80732161"/>
      <w:r w:rsidRPr="00EC14DE">
        <w:rPr>
          <w:rFonts w:eastAsia="Times New Roman" w:cs="Times New Roman"/>
          <w:lang w:eastAsia="it-IT"/>
        </w:rPr>
        <w:t>con interventi di finanziamento, inclusa l’assunzione di capitale di rischio e di debito, anche mediante il co-finanziamento di singole iniziative</w:t>
      </w:r>
      <w:bookmarkEnd w:id="118"/>
      <w:r w:rsidRPr="00EC14DE">
        <w:rPr>
          <w:rFonts w:eastAsia="Times New Roman" w:cs="Times New Roman"/>
          <w:lang w:eastAsia="it-IT"/>
        </w:rPr>
        <w:t>.</w:t>
      </w:r>
      <w:bookmarkStart w:id="119" w:name="_Hlk84317236"/>
    </w:p>
    <w:p w14:paraId="6AF05D69" w14:textId="77777777" w:rsidR="00AF1DB1" w:rsidRPr="00EC14DE" w:rsidRDefault="00AF1DB1" w:rsidP="00AF1DB1">
      <w:pPr>
        <w:widowControl w:val="0"/>
        <w:rPr>
          <w:rFonts w:cs="Times New Roman"/>
        </w:rPr>
      </w:pPr>
      <w:r w:rsidRPr="00EC14DE">
        <w:rPr>
          <w:rFonts w:eastAsia="Times New Roman" w:cs="Times New Roman"/>
          <w:lang w:eastAsia="it-IT"/>
        </w:rPr>
        <w:t>7. All’articolo 5, comma 7, lettera a), del decreto-legge 20 settembre 2003, n. 269, convertito, con modificazioni, dalla legge 24 novembre 2003, n. 326, dopo le parole “</w:t>
      </w:r>
      <w:r w:rsidRPr="00EC14DE">
        <w:rPr>
          <w:rFonts w:eastAsia="Times New Roman" w:cs="Times New Roman"/>
          <w:iCs/>
          <w:lang w:eastAsia="it-IT"/>
        </w:rPr>
        <w:t>successivo comma 11, lettera e</w:t>
      </w:r>
      <w:r w:rsidRPr="00EC14DE">
        <w:rPr>
          <w:rFonts w:eastAsia="Times New Roman" w:cs="Times New Roman"/>
          <w:lang w:eastAsia="it-IT"/>
        </w:rPr>
        <w:t>),” sono aggiunte le seguenti: “</w:t>
      </w:r>
      <w:bookmarkStart w:id="120" w:name="_Hlk84321550"/>
      <w:r w:rsidRPr="00EC14DE">
        <w:rPr>
          <w:rFonts w:eastAsia="Times New Roman" w:cs="Times New Roman"/>
          <w:iCs/>
          <w:lang w:eastAsia="it-IT"/>
        </w:rPr>
        <w:t xml:space="preserve">o al fine di contribuire al raggiungimento degli obiettivi stabiliti nell’ambito degli accordi internazionali sul clima e tutela ambientale </w:t>
      </w:r>
      <w:r w:rsidRPr="00EC14DE">
        <w:rPr>
          <w:rFonts w:eastAsia="Times New Roman" w:cs="Times New Roman"/>
          <w:lang w:eastAsia="it-IT"/>
        </w:rPr>
        <w:t>ai quali l’Italia ha aderito</w:t>
      </w:r>
      <w:bookmarkEnd w:id="119"/>
      <w:bookmarkEnd w:id="120"/>
      <w:r w:rsidRPr="00EC14DE">
        <w:rPr>
          <w:rFonts w:eastAsia="Times New Roman" w:cs="Times New Roman"/>
          <w:lang w:eastAsia="it-IT"/>
        </w:rPr>
        <w:t>.</w:t>
      </w:r>
    </w:p>
    <w:p w14:paraId="223C746A" w14:textId="77777777" w:rsidR="00AF1DB1" w:rsidRPr="00EC14DE" w:rsidRDefault="00AF1DB1" w:rsidP="00AF1DB1">
      <w:pPr>
        <w:widowControl w:val="0"/>
        <w:ind w:firstLine="2"/>
        <w:rPr>
          <w:rFonts w:cs="Times New Roman"/>
        </w:rPr>
      </w:pPr>
      <w:r w:rsidRPr="00EC14DE">
        <w:rPr>
          <w:rFonts w:cs="Times New Roman"/>
        </w:rPr>
        <w:t xml:space="preserve">8. Sono istituiti, presso il Ministero della transizione ecologica, senza nuovi o maggiori oneri a carico della finanza pubblica, un Comitato di indirizzo e un Comitato Direttivo. Il Comitato di indirizzo è presieduto dal Ministro per la Transizione Ecologica o suo delegato, ed è composto da un </w:t>
      </w:r>
      <w:r w:rsidR="004F32D6" w:rsidRPr="00EC14DE">
        <w:rPr>
          <w:rFonts w:cs="Times New Roman"/>
        </w:rPr>
        <w:t>r</w:t>
      </w:r>
      <w:r w:rsidRPr="00EC14DE">
        <w:rPr>
          <w:rFonts w:cs="Times New Roman"/>
        </w:rPr>
        <w:t xml:space="preserve">appresentante del Ministero della </w:t>
      </w:r>
      <w:r w:rsidR="004F32D6" w:rsidRPr="00EC14DE">
        <w:rPr>
          <w:rFonts w:cs="Times New Roman"/>
        </w:rPr>
        <w:t>transizione ecologica, da un r</w:t>
      </w:r>
      <w:r w:rsidRPr="00EC14DE">
        <w:rPr>
          <w:rFonts w:cs="Times New Roman"/>
        </w:rPr>
        <w:t>appresentante del Ministero dell’Ec</w:t>
      </w:r>
      <w:r w:rsidR="004F32D6" w:rsidRPr="00EC14DE">
        <w:rPr>
          <w:rFonts w:cs="Times New Roman"/>
        </w:rPr>
        <w:t>onomia e delle Finanze e da un r</w:t>
      </w:r>
      <w:r w:rsidRPr="00EC14DE">
        <w:rPr>
          <w:rFonts w:cs="Times New Roman"/>
        </w:rPr>
        <w:t xml:space="preserve">appresentante del Ministero degli Affari Esteri e della Cooperazione Internazionale. Esso definisce l’orientamento strategico, le priorità di investimento del Fondo e delibera, su proposta di Cassa Depositi e Prestiti S.p.A., il piano di attività del Fondo, anche mediante la definizione dell’ammontare di risorse destinato alle distinte modalità di intervento di cui al comma 2, ivi inclusi eventuali limiti per aree geografiche e categorie di paesi e per interventi effettuati in favore di, o aventi come intermediari, soggetti privati. Il </w:t>
      </w:r>
      <w:r w:rsidRPr="00EC14DE">
        <w:rPr>
          <w:rFonts w:eastAsia="Times New Roman" w:cs="Times New Roman"/>
          <w:lang w:eastAsia="it-IT"/>
        </w:rPr>
        <w:t>Comitato Direttivo del Fondo delibera in merito ai finanziamenti e alle garanzie concessi a valere sulle risorse del Fondo stesso, su proposta di Cassa Depositi e Prestiti S.p.A. e previo parere del Comitato di cui all’articolo 21 della legge 11 agosto 2014, n. 125. La Segreteria del Comitato Direttivo è costituita</w:t>
      </w:r>
      <w:r w:rsidR="00C83D81" w:rsidRPr="00EC14DE">
        <w:rPr>
          <w:rFonts w:eastAsia="Times New Roman" w:cs="Times New Roman"/>
          <w:lang w:eastAsia="it-IT"/>
        </w:rPr>
        <w:t>, senza nuovi o maggiori oneri a carico della finanza pubblica,</w:t>
      </w:r>
      <w:r w:rsidRPr="00EC14DE">
        <w:rPr>
          <w:rFonts w:eastAsia="Times New Roman" w:cs="Times New Roman"/>
          <w:lang w:eastAsia="it-IT"/>
        </w:rPr>
        <w:t xml:space="preserve"> presso il </w:t>
      </w:r>
      <w:r w:rsidRPr="00EC14DE">
        <w:rPr>
          <w:rFonts w:cs="Times New Roman"/>
        </w:rPr>
        <w:t>Ministero della transizione ecologica</w:t>
      </w:r>
      <w:r w:rsidRPr="00EC14DE">
        <w:rPr>
          <w:rFonts w:eastAsia="Times New Roman" w:cs="Times New Roman"/>
          <w:lang w:eastAsia="it-IT"/>
        </w:rPr>
        <w:t xml:space="preserve"> con il supporto operativo di Cassa Depositi e Prestiti S.p.A., quale gestore del Fondo. </w:t>
      </w:r>
      <w:r w:rsidRPr="00EC14DE">
        <w:rPr>
          <w:rFonts w:cs="Times New Roman"/>
        </w:rPr>
        <w:t>Con decreto del Ministro della transizione ecologica, di concerto con il Ministro degli affari esteri e della cooperazione internazionale e con il Ministro dell’economia e delle finanze, sono stabilite le modalità di funzionamento del Comitato di indirizzo e le modalità di composizione e funzionamento del Comitato Direttivo. Ai componenti del Comitato di indirizzo e al Comitato Direttivo non spettano compensi, gettoni di presenza, rimborsi spese o altri emolumenti comunque denominati.</w:t>
      </w:r>
    </w:p>
    <w:p w14:paraId="044AD64F" w14:textId="77777777" w:rsidR="00AF1DB1" w:rsidRPr="00EC14DE" w:rsidRDefault="00AF1DB1" w:rsidP="00AF1DB1">
      <w:pPr>
        <w:widowControl w:val="0"/>
        <w:rPr>
          <w:rFonts w:cs="Times New Roman"/>
        </w:rPr>
      </w:pPr>
      <w:r w:rsidRPr="00EC14DE">
        <w:rPr>
          <w:rFonts w:eastAsia="Times New Roman" w:cs="Times New Roman"/>
          <w:lang w:eastAsia="it-IT"/>
        </w:rPr>
        <w:t xml:space="preserve">9. La dotazione del Fondo può essere incrementata dall'apporto finanziario </w:t>
      </w:r>
      <w:r w:rsidRPr="00EC14DE">
        <w:rPr>
          <w:rFonts w:cs="Times New Roman"/>
        </w:rPr>
        <w:t>di soggetti pubblici o privati, nazionali o internazionali, anche a valere su risorse europee e internazionali, previo versamento all’entrata del bilancio dello Stato e successiva riassegnazione, ai fini della costituzione di sezioni speciali secondo le medesime finalità di cui al comma 1.</w:t>
      </w:r>
    </w:p>
    <w:p w14:paraId="460C5955" w14:textId="77777777" w:rsidR="00E17B05" w:rsidRPr="00EC14DE" w:rsidRDefault="00E17B05"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(Istituzione del Fondo per l’attuazione del programma nazionale di controllo dell’inquinamento atmosferico) </w:t>
      </w:r>
    </w:p>
    <w:p w14:paraId="62CBFA67" w14:textId="77777777" w:rsidR="00E17B05" w:rsidRPr="00EC14DE" w:rsidRDefault="00E17B05" w:rsidP="007C594F">
      <w:pPr>
        <w:pStyle w:val="Default"/>
        <w:widowControl w:val="0"/>
        <w:jc w:val="both"/>
        <w:rPr>
          <w:color w:val="auto"/>
          <w:sz w:val="22"/>
          <w:szCs w:val="22"/>
        </w:rPr>
      </w:pPr>
      <w:r w:rsidRPr="00EC14DE">
        <w:rPr>
          <w:color w:val="auto"/>
          <w:sz w:val="22"/>
          <w:szCs w:val="22"/>
        </w:rPr>
        <w:t>1. Al fine di assicurare l’efficace attuazione del programma nazionale di controllo dell’inquinamento atmosferico di cui al decreto legislativo 30 maggio 2018, n. 81, nonché di rispettare gli impegni di riduzione delle emissioni assunti dall’Italia, è istituito, nello stato di previsione del Ministero della transizione ecologica, un apposito Fondo destinato a finanziare l’attuazione delle misure previste dal medesimo programma nazionale. Al Fondo è assegnata una dotazione pari a 50 milioni di euro nel 2023, 100 milioni di euro nel 2024, 150 milioni di euro nel 2025 e di 200 milioni di euro annui dal 2026 al 2035. Con appositi decreti del Ministro della transizione ecologica, di concerto con i Ministri dell’economia e delle finanze, dello sviluppo economico, delle politiche agricole alimentari e forestali, delle infrastrutture e della mobilità sostenibili e della salute per gli aspetti di competenza, sono stabilite le modalità di utilizzo delle risorse del Fondo di cui al precedente periodo, anche attraverso bandi e programmi di finanziamento delle attività necessarie ad attuare le misure del programma nazionale di controllo dell’inquinamento atmosferico.</w:t>
      </w:r>
    </w:p>
    <w:p w14:paraId="46522A2B" w14:textId="77777777" w:rsidR="009035F5" w:rsidRPr="00EC14DE" w:rsidRDefault="009035F5" w:rsidP="009035F5">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(Misure a sostegno dell’avvio dei centri di preparazione per il riutilizzo)</w:t>
      </w:r>
    </w:p>
    <w:p w14:paraId="59288AE9" w14:textId="77777777" w:rsidR="009035F5" w:rsidRPr="00EC14DE" w:rsidRDefault="009035F5" w:rsidP="009035F5">
      <w:pPr>
        <w:pStyle w:val="didefaulta"/>
        <w:jc w:val="both"/>
        <w:rPr>
          <w:rFonts w:ascii="Times New Roman" w:hAnsi="Times New Roman"/>
          <w:color w:val="auto"/>
        </w:rPr>
      </w:pPr>
      <w:r w:rsidRPr="00EC14DE">
        <w:rPr>
          <w:rFonts w:ascii="Times New Roman" w:hAnsi="Times New Roman"/>
          <w:color w:val="auto"/>
        </w:rPr>
        <w:t>1. È istituito, nello stato di previsione del Ministero della transizione ecologica, un apposito fondo, finalizzato ad incentivare l’apertura dei centri per la preparazione per il riutilizzo, di cui agli articoli 181 e 214-</w:t>
      </w:r>
      <w:r w:rsidRPr="00EC14DE">
        <w:rPr>
          <w:rFonts w:ascii="Times New Roman" w:hAnsi="Times New Roman"/>
          <w:i/>
          <w:iCs/>
          <w:color w:val="auto"/>
        </w:rPr>
        <w:t>ter</w:t>
      </w:r>
      <w:r w:rsidRPr="00EC14DE">
        <w:rPr>
          <w:rFonts w:ascii="Times New Roman" w:hAnsi="Times New Roman"/>
          <w:color w:val="auto"/>
        </w:rPr>
        <w:t xml:space="preserve"> del decreto legislativo 3 aprile 2006 n. 152, con una dotazione pari a 3 milioni di euro per ciascuno degli anni 2022 e 2023. I centri di cui al periodo precedente hanno ad oggetto rifiuti idonei ad essere preparati per il loro reimpiego mediante operazioni di controllo, pulizia, smontaggio e riparazione e garantiscono l’ottenimento di prodotti o componenti di prodotti conformi al modello originario.</w:t>
      </w:r>
    </w:p>
    <w:p w14:paraId="0365FDF1" w14:textId="77777777" w:rsidR="009035F5" w:rsidRPr="00EC14DE" w:rsidRDefault="009035F5" w:rsidP="009035F5">
      <w:pPr>
        <w:pStyle w:val="didefaulta"/>
        <w:jc w:val="both"/>
        <w:rPr>
          <w:rFonts w:ascii="Times New Roman" w:hAnsi="Times New Roman"/>
          <w:color w:val="auto"/>
        </w:rPr>
      </w:pPr>
      <w:r w:rsidRPr="00EC14DE">
        <w:rPr>
          <w:rFonts w:ascii="Times New Roman" w:hAnsi="Times New Roman"/>
          <w:color w:val="auto"/>
        </w:rPr>
        <w:t xml:space="preserve">2. Ai fini dell’accesso al fondo di cui al comma 1, le imprese individuali e le società che intendono svolgere le attività di preparazione per il riutilizzo, a seguito di iscrizione nell’apposito registro di cui all’articolo 216, comma 3, del decreto legislativo 3 aprile 2006, n. 152 presso l’amministrazione competente per territorio, presentano al Ministero della transizione ecologica istanza di un contributo a copertura parziale, ovvero integrale, dei costi sostenuti per l’avvio dell’attività fino a un importo massimo di euro 60.000 per ciascun beneficiario, in relazione alla tipologia delle operazioni previste e delle quantità dei rifiuti impiegabili, nel limite complessivo della dotazione del fondo e conformemente alla disciplina eurounitaria in materia di aiuti </w:t>
      </w:r>
      <w:r w:rsidRPr="00EC14DE">
        <w:rPr>
          <w:rFonts w:ascii="Times New Roman" w:hAnsi="Times New Roman"/>
          <w:i/>
          <w:iCs/>
          <w:color w:val="auto"/>
        </w:rPr>
        <w:t>de minimis</w:t>
      </w:r>
      <w:r w:rsidRPr="00EC14DE">
        <w:rPr>
          <w:rFonts w:ascii="Times New Roman" w:hAnsi="Times New Roman"/>
          <w:color w:val="auto"/>
        </w:rPr>
        <w:t xml:space="preserve">. </w:t>
      </w:r>
    </w:p>
    <w:p w14:paraId="7ACBAC3D" w14:textId="77777777" w:rsidR="009035F5" w:rsidRPr="00EC14DE" w:rsidRDefault="009035F5" w:rsidP="009035F5">
      <w:pPr>
        <w:pStyle w:val="didefaulta"/>
        <w:jc w:val="both"/>
        <w:rPr>
          <w:rFonts w:ascii="Times New Roman" w:hAnsi="Times New Roman"/>
          <w:color w:val="auto"/>
        </w:rPr>
      </w:pPr>
      <w:r w:rsidRPr="00EC14DE">
        <w:rPr>
          <w:rFonts w:ascii="Times New Roman" w:hAnsi="Times New Roman"/>
          <w:color w:val="auto"/>
        </w:rPr>
        <w:t>3. Con decreto del Ministro della transizione ecologica, di concerto con il Ministro dell'economia e delle finanze, da adottare entro centoventi giorni dalla data di entrata in vigore della presente legge, sono definite le modalità di impiego e di gestione del fondo di cui al comma 1.</w:t>
      </w:r>
    </w:p>
    <w:p w14:paraId="729B8802" w14:textId="77777777" w:rsidR="00BB7043" w:rsidRPr="00EC14DE" w:rsidRDefault="00BB7043"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(Ricerca contrasto specie esotiche invasive) </w:t>
      </w:r>
    </w:p>
    <w:p w14:paraId="53BDABA3" w14:textId="77777777" w:rsidR="00BB7043" w:rsidRPr="00EC14DE" w:rsidRDefault="00BB7043" w:rsidP="007C594F">
      <w:pPr>
        <w:widowControl w:val="0"/>
        <w:tabs>
          <w:tab w:val="left" w:pos="10992"/>
          <w:tab w:val="left" w:pos="11908"/>
          <w:tab w:val="left" w:pos="12824"/>
          <w:tab w:val="left" w:pos="13740"/>
          <w:tab w:val="left" w:pos="14656"/>
        </w:tabs>
        <w:rPr>
          <w:rFonts w:cs="Times New Roman"/>
        </w:rPr>
      </w:pPr>
      <w:r w:rsidRPr="00EC14DE">
        <w:rPr>
          <w:rFonts w:cs="Times New Roman"/>
        </w:rPr>
        <w:t>1. Ai fini della concreta attuazione delle disposizioni di cui agli articoli 19 e 22 del decreto legislativo 15 dicembre 2017, n. 230, è istituito, nello stato</w:t>
      </w:r>
      <w:r w:rsidR="00433DCA" w:rsidRPr="00EC14DE">
        <w:rPr>
          <w:rFonts w:cs="Times New Roman"/>
        </w:rPr>
        <w:t xml:space="preserve"> di previsione del Ministero del</w:t>
      </w:r>
      <w:r w:rsidRPr="00EC14DE">
        <w:rPr>
          <w:rFonts w:cs="Times New Roman"/>
        </w:rPr>
        <w:t xml:space="preserve">la transizione ecologica, un “Fondo per il controllo delle specie esotiche invasive”, con una dotazione finanziaria pari a </w:t>
      </w:r>
      <w:r w:rsidR="00433DCA" w:rsidRPr="00EC14DE">
        <w:rPr>
          <w:rFonts w:cs="Times New Roman"/>
        </w:rPr>
        <w:t>5</w:t>
      </w:r>
      <w:r w:rsidRPr="00EC14DE">
        <w:rPr>
          <w:rFonts w:cs="Times New Roman"/>
        </w:rPr>
        <w:t xml:space="preserve"> milioni di euro per ciascuno degli anni 2022, 2023 e 2024. Entro 90 giorni dalla data di entrata in vigore della presente disposizione, con decreto del Ministe</w:t>
      </w:r>
      <w:r w:rsidR="000F4178" w:rsidRPr="00EC14DE">
        <w:rPr>
          <w:rFonts w:cs="Times New Roman"/>
        </w:rPr>
        <w:t xml:space="preserve">ro della transizione ecologica, di concerto con il Ministro dell’economia e delle finanze, </w:t>
      </w:r>
      <w:r w:rsidRPr="00EC14DE">
        <w:rPr>
          <w:rFonts w:cs="Times New Roman"/>
        </w:rPr>
        <w:t xml:space="preserve">sentita la conferenza Stato-Regioni, sono stabilite le modalità di ripartizione fra le Regioni e le Province autonome di Trento e Bolzano delle risorse del Fondo di cui al periodo precedente. </w:t>
      </w:r>
    </w:p>
    <w:p w14:paraId="2E6E703F" w14:textId="77777777" w:rsidR="00C354D6" w:rsidRPr="00EC14DE" w:rsidRDefault="00C354D6"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8F2606" w:rsidRPr="00EC14DE">
        <w:t>Contenimento degli effetti degli aumenti dei prezzi nel settore elettrico e del gas</w:t>
      </w:r>
      <w:r w:rsidRPr="00EC14DE">
        <w:t>)</w:t>
      </w:r>
    </w:p>
    <w:p w14:paraId="5DD4E72B" w14:textId="77777777" w:rsidR="008F2606" w:rsidRPr="00EC14DE" w:rsidRDefault="008F2606" w:rsidP="007C594F">
      <w:pPr>
        <w:widowControl w:val="0"/>
      </w:pPr>
      <w:r w:rsidRPr="00EC14DE">
        <w:t>1.Al fine di contenere gli effetti degli aumenti dei prezzi nel settore elettrico e del gas naturale nel primo trimestre 2022, l'Autorità di regolazione per energia, reti e ambiente provvede a ridurre le aliquote relative agli oneri generali di sistema fino a concorrenza dell’importo di 2.000 milioni di euro che a tal fine sono trasferiti alla Cassa per i servizi energetici e ambientali entro il 15 febbraio 2022.</w:t>
      </w:r>
    </w:p>
    <w:p w14:paraId="4BB544FF" w14:textId="77777777" w:rsidR="00096AF1" w:rsidRPr="00EC14DE" w:rsidRDefault="00951AB1" w:rsidP="00951AB1">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r>
      <w:r w:rsidR="00096AF1" w:rsidRPr="00EC14DE">
        <w:t>(Finanziamento per le emergenze ambientali e per la semplificazione del Fondo nazionale per l'efficienza energetica)</w:t>
      </w:r>
    </w:p>
    <w:p w14:paraId="0424C574" w14:textId="77777777" w:rsidR="00096AF1" w:rsidRPr="00EC14DE" w:rsidRDefault="00096AF1" w:rsidP="00951AB1">
      <w:pPr>
        <w:widowControl w:val="0"/>
      </w:pPr>
      <w:r w:rsidRPr="00EC14DE">
        <w:t>1. Nello stato di previsione del Ministero della transizione ecologica è istituito un fondo con una dotazione di 5 milioni di euro per ciascuno degli anni 2022, 2023 e 2024 da destinare ad interventi di ripristino delle opere di collettamento o depurazione delle acque, nonché di impianti di monitoraggio delle acque, in casi di urgenza correlati ad eventi calamitosi</w:t>
      </w:r>
      <w:r w:rsidR="00FA3C70" w:rsidRPr="00EC14DE">
        <w:t>. Gli interventi sono monitorati ai sensi del decreto legislativo del 29 dicembre 2011, n. 229 e classificati sotto la voce DLB 2022 - Mite collettamento depurazione acque.</w:t>
      </w:r>
    </w:p>
    <w:p w14:paraId="11B7AC50" w14:textId="77777777" w:rsidR="00951AB1" w:rsidRPr="00EC14DE" w:rsidRDefault="00096AF1" w:rsidP="00951AB1">
      <w:pPr>
        <w:widowControl w:val="0"/>
      </w:pPr>
      <w:r w:rsidRPr="00EC14DE">
        <w:t>2. All’articolo 15, comma 2, lettera b), del decreto legi</w:t>
      </w:r>
      <w:r w:rsidR="00951AB1" w:rsidRPr="00EC14DE">
        <w:t xml:space="preserve">slativo 4 luglio 2014, n. 102, </w:t>
      </w:r>
      <w:r w:rsidRPr="00EC14DE">
        <w:t xml:space="preserve">al comma 2 le parole “ha natura rotativa” sono sostituite con “ha natura mista” e alla lettera b) del medesimo comma dopo le parole: “l’erogazione di finanziamenti,” sono aggiunte le seguenti: “di cui una quota parte a fondo perduto nel limite complessivo di 8 milioni di euro annui a decorrere dal 2022”. </w:t>
      </w:r>
    </w:p>
    <w:p w14:paraId="4E5A433E" w14:textId="77777777" w:rsidR="0030430E" w:rsidRPr="00EC14DE" w:rsidRDefault="0030430E">
      <w:pPr>
        <w:spacing w:after="160" w:line="259" w:lineRule="auto"/>
        <w:jc w:val="left"/>
        <w:rPr>
          <w:rFonts w:eastAsiaTheme="majorEastAsia" w:cstheme="majorBidi"/>
          <w:b/>
          <w:sz w:val="24"/>
          <w:szCs w:val="32"/>
        </w:rPr>
      </w:pPr>
      <w:r w:rsidRPr="00EC14DE">
        <w:br w:type="page"/>
      </w:r>
    </w:p>
    <w:p w14:paraId="77D2749E" w14:textId="77777777" w:rsidR="00307E1D" w:rsidRPr="00EC14DE" w:rsidRDefault="00307E1D" w:rsidP="00307E1D">
      <w:pPr>
        <w:pStyle w:val="Titolo1"/>
        <w:keepNext w:val="0"/>
        <w:keepLines w:val="0"/>
        <w:widowControl w:val="0"/>
      </w:pPr>
      <w:r w:rsidRPr="00EC14DE">
        <w:t>Titolo XI</w:t>
      </w:r>
      <w:r w:rsidRPr="00EC14DE">
        <w:br/>
        <w:t xml:space="preserve">Misure </w:t>
      </w:r>
      <w:r w:rsidR="00656B32" w:rsidRPr="00EC14DE">
        <w:t xml:space="preserve">in materia di politiche agricole </w:t>
      </w:r>
    </w:p>
    <w:p w14:paraId="5FD0BC18" w14:textId="77777777" w:rsidR="00260400" w:rsidRPr="00EC14DE" w:rsidRDefault="00260400" w:rsidP="00260400">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(Fondo mutualistico nazionale contro i rischi catastrofali nel settore agricolo)</w:t>
      </w:r>
    </w:p>
    <w:p w14:paraId="65CCD7BB" w14:textId="77777777" w:rsidR="002F4B2B" w:rsidRPr="00EC14DE" w:rsidRDefault="002F4B2B" w:rsidP="00260400">
      <w:pPr>
        <w:rPr>
          <w:rFonts w:cs="Times New Roman"/>
        </w:rPr>
      </w:pPr>
      <w:r w:rsidRPr="00EC14DE">
        <w:rPr>
          <w:rFonts w:cs="Times New Roman"/>
        </w:rPr>
        <w:t xml:space="preserve">1. Nello stato di previsione del Ministero delle politiche agricole, alimentari e forestali è istituito il “Fondo mutualistico nazionale per la copertura dei danni catastrofali meteoclimatici alle produzioni agricole causati da alluvione, gelo-brina e siccità”, di seguito denominato “Fondo”, </w:t>
      </w:r>
      <w:r w:rsidR="00E0105B" w:rsidRPr="00EC14DE">
        <w:rPr>
          <w:rFonts w:cs="Times New Roman"/>
        </w:rPr>
        <w:t xml:space="preserve">con una dotazione di 50 milioni di euro nel 2022, </w:t>
      </w:r>
      <w:r w:rsidRPr="00EC14DE">
        <w:rPr>
          <w:rFonts w:cs="Times New Roman"/>
        </w:rPr>
        <w:t>finalizzato agli in</w:t>
      </w:r>
      <w:r w:rsidR="00783424" w:rsidRPr="00EC14DE">
        <w:rPr>
          <w:rFonts w:cs="Times New Roman"/>
        </w:rPr>
        <w:t>terventi di cui agli articoli 69</w:t>
      </w:r>
      <w:r w:rsidRPr="00EC14DE">
        <w:rPr>
          <w:rFonts w:cs="Times New Roman"/>
        </w:rPr>
        <w:t>, lettera f) e 76 del Regolamento (UE) recante “Norme sul sostegno ai piani strategici che gli Stati membri devono redigere nell’ambito della politica agricola comune (piani strategici della PAC) e finanziati dal Fondo europeo agricolo di garanzia (FEAGA) e dal Fondo europeo agricolo per lo sviluppo rurale (FEASR) e che abroga il regolamento (UE) n. 1305/2013 e (UE) n. 1307/2013”, in fase di approvazione definitiva da parte del Parlamento europeo (di seguito “il Regolamento Piani Strategici”). Con decreto del Ministro delle politiche agricole alimentari e forestali sono definite le disposizioni per il riconoscimento, la costituzione, il finanziamento e la gestione del fondo. I criteri e le modalità d’intervento del Fondo sono definiti annualmente nel “Piano di gestione dei rischi in agricoltura” di cui all’articolo 4 del decreto legislativo 29 marzo 2004, n. 102.</w:t>
      </w:r>
    </w:p>
    <w:p w14:paraId="7E7D1A2A" w14:textId="77777777" w:rsidR="00260400" w:rsidRPr="00EC14DE" w:rsidRDefault="00260400" w:rsidP="00260400">
      <w:pPr>
        <w:rPr>
          <w:rFonts w:cs="Times New Roman"/>
        </w:rPr>
      </w:pPr>
      <w:r w:rsidRPr="00EC14DE">
        <w:rPr>
          <w:rFonts w:cs="Times New Roman"/>
        </w:rPr>
        <w:t>2. Le funzioni di soggetto gestore del Fondo sono affidate all’Istituto di Servizi per il Mercato Agricolo Alimentare (ISMEA) che, al fine di assicurare l’adempimento delle normative speciali in materia di redazione dei conti annuali e garantire una separazione dei patrimoni, è autorizzato ad esercitarle attraverso una società di capitali dedicata. La SIN - Sistema Informativo Nazionale per lo sviluppo dell’Agricoltura S.p.a., costituita ai sensi dell’articolo 14, comma 10-bis del decreto legislativo 29 marzo 2004, n. 99, all’esito della trasformazione prevista dall’articolo 15-</w:t>
      </w:r>
      <w:r w:rsidRPr="00EC14DE">
        <w:rPr>
          <w:rFonts w:cs="Times New Roman"/>
          <w:i/>
          <w:iCs/>
        </w:rPr>
        <w:t>bis</w:t>
      </w:r>
      <w:r w:rsidRPr="00EC14DE">
        <w:rPr>
          <w:rFonts w:cs="Times New Roman"/>
        </w:rPr>
        <w:t xml:space="preserve"> del decreto legislativo 21 maggio 2018, n. 74, è autorizzata a partecipare alla società dedicata. I sistemi informatici necessari alla gestione del fondo sono realizzati mediante il Sistema informativo Agricolo Nazionale (SIAN) con l’acquisizione dei servizi aggiudicati con la procedura di cui all’articolo 1, comma 6-bis, del decreto-legge 5 maggio 2015, n. 51, convertito, con modificazioni, dalla legge 2 luglio 2015, n. 91.</w:t>
      </w:r>
    </w:p>
    <w:p w14:paraId="2061B96B" w14:textId="77777777" w:rsidR="00260400" w:rsidRPr="00EC14DE" w:rsidRDefault="00260400" w:rsidP="00260400">
      <w:pPr>
        <w:rPr>
          <w:rFonts w:cs="Times New Roman"/>
        </w:rPr>
      </w:pPr>
      <w:r w:rsidRPr="00EC14DE">
        <w:rPr>
          <w:rFonts w:cs="Times New Roman"/>
        </w:rPr>
        <w:t xml:space="preserve">3. </w:t>
      </w:r>
      <w:r w:rsidR="00696DB2" w:rsidRPr="00EC14DE">
        <w:rPr>
          <w:rFonts w:cs="Times New Roman"/>
        </w:rPr>
        <w:t xml:space="preserve">È autorizzata l’apertura di un conto corrente di tesoreria centrale, </w:t>
      </w:r>
      <w:r w:rsidRPr="00EC14DE">
        <w:rPr>
          <w:rFonts w:cs="Times New Roman"/>
        </w:rPr>
        <w:t>intestato alla società di capitali dedicata di cui al comma 2, sul quale confluiscono le somme destinate al finanziamento del Fondo.</w:t>
      </w:r>
    </w:p>
    <w:p w14:paraId="6012F099" w14:textId="77777777" w:rsidR="004C517B" w:rsidRPr="00EC14DE" w:rsidRDefault="00205220" w:rsidP="004C517B">
      <w:pPr>
        <w:pStyle w:val="Paragrafoelenco"/>
        <w:tabs>
          <w:tab w:val="left" w:pos="426"/>
        </w:tabs>
        <w:spacing w:line="240" w:lineRule="auto"/>
        <w:ind w:left="0"/>
        <w:contextualSpacing w:val="0"/>
        <w:jc w:val="both"/>
        <w:rPr>
          <w:rFonts w:ascii="Times New Roman" w:hAnsi="Times New Roman" w:cs="Times New Roman"/>
        </w:rPr>
      </w:pPr>
      <w:r w:rsidRPr="00EC14DE">
        <w:rPr>
          <w:rFonts w:ascii="Times New Roman" w:hAnsi="Times New Roman" w:cs="Times New Roman"/>
        </w:rPr>
        <w:t xml:space="preserve">4. </w:t>
      </w:r>
      <w:r w:rsidR="00783424" w:rsidRPr="00EC14DE">
        <w:rPr>
          <w:rFonts w:ascii="Times New Roman" w:hAnsi="Times New Roman" w:cs="Times New Roman"/>
        </w:rPr>
        <w:t>Le risorse di cui al comma 1</w:t>
      </w:r>
      <w:r w:rsidR="004C517B" w:rsidRPr="00EC14DE">
        <w:rPr>
          <w:rFonts w:ascii="Times New Roman" w:hAnsi="Times New Roman" w:cs="Times New Roman"/>
        </w:rPr>
        <w:t xml:space="preserve"> sono assegnate al Ministero delle politiche agricole alimentari e forestali </w:t>
      </w:r>
      <w:r w:rsidR="006A05B9" w:rsidRPr="00EC14DE">
        <w:rPr>
          <w:rFonts w:ascii="Times New Roman" w:hAnsi="Times New Roman" w:cs="Times New Roman"/>
        </w:rPr>
        <w:t>e saranno trasferite</w:t>
      </w:r>
      <w:r w:rsidR="004C517B" w:rsidRPr="00EC14DE">
        <w:rPr>
          <w:rFonts w:ascii="Times New Roman" w:hAnsi="Times New Roman" w:cs="Times New Roman"/>
        </w:rPr>
        <w:t xml:space="preserve"> dal</w:t>
      </w:r>
      <w:r w:rsidR="006A05B9" w:rsidRPr="00EC14DE">
        <w:rPr>
          <w:rFonts w:ascii="Times New Roman" w:hAnsi="Times New Roman" w:cs="Times New Roman"/>
        </w:rPr>
        <w:t>lo stesso</w:t>
      </w:r>
      <w:r w:rsidR="004C517B" w:rsidRPr="00EC14DE">
        <w:rPr>
          <w:rFonts w:ascii="Times New Roman" w:hAnsi="Times New Roman" w:cs="Times New Roman"/>
        </w:rPr>
        <w:t xml:space="preserve"> Ministero alla società di cui al comma 2, al momento dell’apertura del conto corrente di tesoreria centrale di cui al comma 3. Nelle more dell’emanazione del decreto ministeriale di cui al comma 1 si applica il decreto del Ministero delle politiche agricole alimentari e forestali 5 maggio 2016, n. 10158.</w:t>
      </w:r>
    </w:p>
    <w:p w14:paraId="51A4F64C" w14:textId="77777777" w:rsidR="00260400" w:rsidRPr="00EC14DE" w:rsidRDefault="004C517B" w:rsidP="006A05B9">
      <w:pPr>
        <w:pStyle w:val="Paragrafoelenco"/>
        <w:tabs>
          <w:tab w:val="left" w:pos="426"/>
        </w:tabs>
        <w:spacing w:line="240" w:lineRule="auto"/>
        <w:ind w:left="0"/>
        <w:contextualSpacing w:val="0"/>
        <w:jc w:val="both"/>
        <w:rPr>
          <w:rFonts w:ascii="Times New Roman" w:hAnsi="Times New Roman" w:cs="Times New Roman"/>
        </w:rPr>
      </w:pPr>
      <w:r w:rsidRPr="00EC14DE">
        <w:rPr>
          <w:rFonts w:ascii="Times New Roman" w:hAnsi="Times New Roman" w:cs="Times New Roman"/>
        </w:rPr>
        <w:t>5</w:t>
      </w:r>
      <w:r w:rsidR="006A05B9" w:rsidRPr="00EC14DE">
        <w:rPr>
          <w:rFonts w:ascii="Times New Roman" w:hAnsi="Times New Roman" w:cs="Times New Roman"/>
        </w:rPr>
        <w:t>. Al fine di garantire la copertura del maggiore fabbisogno finanziario relativo all’attuazione del Fondo di mutualizzazione di cui al comma 1</w:t>
      </w:r>
      <w:r w:rsidR="003919A4" w:rsidRPr="00EC14DE">
        <w:rPr>
          <w:rFonts w:ascii="Times New Roman" w:hAnsi="Times New Roman" w:cs="Times New Roman"/>
        </w:rPr>
        <w:t>,</w:t>
      </w:r>
      <w:r w:rsidR="006A05B9" w:rsidRPr="00EC14DE">
        <w:rPr>
          <w:rFonts w:ascii="Times New Roman" w:hAnsi="Times New Roman" w:cs="Times New Roman"/>
        </w:rPr>
        <w:t xml:space="preserve"> nonché della misura “assicurazioni agevolate in agricoltura” prevista dal Programma di sviluppo rurale nazionale sostenuto dal Fondo europeo agricolo per lo sviluppo rurale, il cofinanziamento statale a carico del Fondo di rotazione di cui alla legge 16 aprile 1987, n. 183 è incrementato di complessivi 178,3 milioni di euro, di cui 50 milioni di euro riservati alla misura “assicurazioni agevolate in agricoltura”, per ciascuno degli anni dal 2023 al 2027</w:t>
      </w:r>
      <w:r w:rsidR="00260400" w:rsidRPr="00EC14DE">
        <w:rPr>
          <w:rFonts w:ascii="Times New Roman" w:hAnsi="Times New Roman" w:cs="Times New Roman"/>
        </w:rPr>
        <w:t>.</w:t>
      </w:r>
    </w:p>
    <w:p w14:paraId="40899DD9" w14:textId="77777777" w:rsidR="00260400" w:rsidRPr="00EC14DE" w:rsidRDefault="00260400" w:rsidP="00260400">
      <w:pPr>
        <w:pStyle w:val="Titolo3"/>
        <w:rPr>
          <w:rStyle w:val="s1"/>
          <w:rFonts w:cs="Times New Roman"/>
          <w:bCs/>
          <w:iCs/>
          <w:szCs w:val="22"/>
        </w:rPr>
      </w:pPr>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Style w:val="s1"/>
          <w:rFonts w:cs="Times New Roman"/>
          <w:bCs/>
          <w:iCs/>
          <w:szCs w:val="22"/>
        </w:rPr>
        <w:t>(Proroga per l’anno 2022 della decontribuzione per i coltivatori diretti e imprenditori agricoli under 40)</w:t>
      </w:r>
    </w:p>
    <w:p w14:paraId="7A79584F" w14:textId="77777777" w:rsidR="00260400" w:rsidRPr="00EC14DE" w:rsidRDefault="00260400" w:rsidP="00260400">
      <w:r w:rsidRPr="00EC14DE">
        <w:rPr>
          <w:rFonts w:cs="Times New Roman"/>
        </w:rPr>
        <w:t>1. All’</w:t>
      </w:r>
      <w:hyperlink r:id="rId22" w:history="1">
        <w:r w:rsidRPr="00EC14DE">
          <w:rPr>
            <w:rFonts w:cs="Times New Roman"/>
          </w:rPr>
          <w:t>articolo 1, comma 503 della legge 27 dicembre 2019, n. 160</w:t>
        </w:r>
      </w:hyperlink>
      <w:r w:rsidRPr="00EC14DE">
        <w:rPr>
          <w:rFonts w:cs="Times New Roman"/>
        </w:rPr>
        <w:t>, le parole: «e il 31 dicembre 2021» sono sostituite dalle seguenti: «e il 31 dicembre 2022».</w:t>
      </w:r>
    </w:p>
    <w:p w14:paraId="1C3DBDAC" w14:textId="77777777" w:rsidR="00656865" w:rsidRPr="00EC14DE" w:rsidRDefault="00656865" w:rsidP="00656865">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(Incentivi all’imprenditoria agricola femminile e altre misure di ISMEA per il potenziamento della competitività delle imprese operanti nel settore agricolo e agroalimentare)</w:t>
      </w:r>
    </w:p>
    <w:p w14:paraId="07A2236A" w14:textId="77777777" w:rsidR="00D148CB" w:rsidRPr="00EC14DE" w:rsidRDefault="0030430E" w:rsidP="003E5472">
      <w:pPr>
        <w:tabs>
          <w:tab w:val="left" w:pos="426"/>
        </w:tabs>
        <w:rPr>
          <w:rFonts w:cs="Times New Roman"/>
        </w:rPr>
      </w:pPr>
      <w:r w:rsidRPr="00EC14DE">
        <w:rPr>
          <w:rFonts w:cs="Times New Roman"/>
        </w:rPr>
        <w:t xml:space="preserve">1. </w:t>
      </w:r>
      <w:r w:rsidR="00D148CB" w:rsidRPr="00EC14DE">
        <w:rPr>
          <w:rFonts w:cs="Times New Roman"/>
        </w:rPr>
        <w:t>Al fine di rafforzare la competitività delle imprese operanti nel settore agricolo e agroalimentare, per le attività di cui all’articolo 2, comma 132 della legge 23 dicembre 1996, n. 662, è autorizzata la spesa di 50 milioni di euro per il 2022 da trasferire all’Istituto di servizi per il mercato agricolo alimentare – ISMEA.</w:t>
      </w:r>
    </w:p>
    <w:p w14:paraId="72354843" w14:textId="77777777" w:rsidR="003E5472" w:rsidRPr="00EC14DE" w:rsidRDefault="00D148CB" w:rsidP="003E5472">
      <w:pPr>
        <w:tabs>
          <w:tab w:val="left" w:pos="426"/>
        </w:tabs>
        <w:rPr>
          <w:rFonts w:cs="Times New Roman"/>
          <w:iCs/>
        </w:rPr>
      </w:pPr>
      <w:r w:rsidRPr="00EC14DE">
        <w:rPr>
          <w:rFonts w:cs="Times New Roman"/>
          <w:iCs/>
        </w:rPr>
        <w:t xml:space="preserve">2. </w:t>
      </w:r>
      <w:r w:rsidR="003E5472" w:rsidRPr="00EC14DE">
        <w:rPr>
          <w:rFonts w:cs="Times New Roman"/>
          <w:iCs/>
        </w:rPr>
        <w:t>Al fine di favorire l’accesso al credito da parte delle imprese agricole, è autorizzata, in favore di ISMEA, la spesa di 10 milioni di euro per l’anno 2022 per la concessione di garanzie ai sensi dell’articolo 17, comma 2, del decreto legislativo 29 marzo 2004, n.102. Le predette risorse sono versate sul conto corrente di tesoreria centrale di cui all’articolo 13, comma 11, del decreto-legge 8 aprile n. 23 del 2020, convertito, con modificazioni, dalla legge 5 giugno 2020, n. 40, per essere utilizzate in base al fabbisogno finanziario derivante dalla gestione delle garanzie. La predetta garanzia è concessa a titolo gratuito nei limiti previsti dai regolamenti (UE) nn. 717/2014, 1407/2013 e 1408/2013 della Commissione.</w:t>
      </w:r>
    </w:p>
    <w:p w14:paraId="0122195F" w14:textId="77777777" w:rsidR="00656865" w:rsidRPr="00EC14DE" w:rsidRDefault="00656865" w:rsidP="003E5472">
      <w:pPr>
        <w:tabs>
          <w:tab w:val="left" w:pos="426"/>
        </w:tabs>
        <w:rPr>
          <w:rFonts w:cs="Times New Roman"/>
          <w:iCs/>
        </w:rPr>
      </w:pPr>
      <w:r w:rsidRPr="00EC14DE">
        <w:rPr>
          <w:rFonts w:cs="Times New Roman"/>
          <w:iCs/>
        </w:rPr>
        <w:t>3.</w:t>
      </w:r>
      <w:r w:rsidRPr="00EC14DE">
        <w:rPr>
          <w:rFonts w:cs="Times New Roman"/>
          <w:iCs/>
        </w:rPr>
        <w:tab/>
        <w:t>Al fine di favorire l’imprenditoria femminile in agricoltura, le disposizioni del Titolo I, Capo III, del decreto legislativo 21 aprile 2000, n. 185, sono così modificate:</w:t>
      </w:r>
    </w:p>
    <w:p w14:paraId="1433FBB3" w14:textId="77777777" w:rsidR="00656865" w:rsidRPr="00EC14DE" w:rsidRDefault="00656865" w:rsidP="000831E3">
      <w:pPr>
        <w:pStyle w:val="Paragrafoelenco"/>
        <w:numPr>
          <w:ilvl w:val="0"/>
          <w:numId w:val="41"/>
        </w:num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firstLine="0"/>
        <w:contextualSpacing w:val="0"/>
        <w:jc w:val="both"/>
        <w:rPr>
          <w:rFonts w:ascii="Times New Roman" w:hAnsi="Times New Roman" w:cs="Times New Roman"/>
          <w:iCs/>
        </w:rPr>
      </w:pPr>
      <w:r w:rsidRPr="00EC14DE">
        <w:rPr>
          <w:rFonts w:ascii="Times New Roman" w:hAnsi="Times New Roman" w:cs="Times New Roman"/>
          <w:iCs/>
        </w:rPr>
        <w:t>al comma 1 dell’articolo 9, dopo le parole “partecipazione giovanile” sono aggiunte le seguenti “o femminile”;</w:t>
      </w:r>
    </w:p>
    <w:p w14:paraId="294BBF9F" w14:textId="77777777" w:rsidR="00656865" w:rsidRPr="00EC14DE" w:rsidRDefault="00656865" w:rsidP="000831E3">
      <w:pPr>
        <w:pStyle w:val="Paragrafoelenco"/>
        <w:numPr>
          <w:ilvl w:val="0"/>
          <w:numId w:val="41"/>
        </w:num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firstLine="0"/>
        <w:contextualSpacing w:val="0"/>
        <w:jc w:val="both"/>
        <w:rPr>
          <w:rFonts w:ascii="Times New Roman" w:hAnsi="Times New Roman" w:cs="Times New Roman"/>
          <w:iCs/>
        </w:rPr>
      </w:pPr>
      <w:r w:rsidRPr="00EC14DE">
        <w:rPr>
          <w:rFonts w:ascii="Times New Roman" w:hAnsi="Times New Roman" w:cs="Times New Roman"/>
          <w:iCs/>
        </w:rPr>
        <w:t>il comma 2, lettera c) dell’articolo 10-</w:t>
      </w:r>
      <w:r w:rsidRPr="00EC14DE">
        <w:rPr>
          <w:rFonts w:ascii="Times New Roman" w:hAnsi="Times New Roman" w:cs="Times New Roman"/>
          <w:i/>
        </w:rPr>
        <w:t>bis</w:t>
      </w:r>
      <w:r w:rsidRPr="00EC14DE">
        <w:rPr>
          <w:rFonts w:ascii="Times New Roman" w:hAnsi="Times New Roman" w:cs="Times New Roman"/>
          <w:iCs/>
        </w:rPr>
        <w:t xml:space="preserve"> è sostituito dal seguente: “siano amministrate e condotte da un giovane imprenditore agricolo di età compresa tra i 18 ed i 40 anni o da una donna ovvero, nel caso di società, siano composte, per oltre la metà delle quote di partecipazione, da giovani di età compresa tra i 18 ed i 40 anni o da donne”. </w:t>
      </w:r>
    </w:p>
    <w:p w14:paraId="5A030194" w14:textId="77777777" w:rsidR="00656865" w:rsidRPr="00EC14DE" w:rsidRDefault="00656865" w:rsidP="00656865">
      <w:p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C14DE">
        <w:rPr>
          <w:rFonts w:cs="Times New Roman"/>
        </w:rPr>
        <w:t xml:space="preserve">4. </w:t>
      </w:r>
      <w:r w:rsidRPr="00EC14DE">
        <w:rPr>
          <w:rFonts w:cs="Times New Roman"/>
        </w:rPr>
        <w:tab/>
        <w:t xml:space="preserve">Alle agevolazioni previste dal Titolo I, Capo III, del decreto legislativo 21 aprile 2000, n. 185 in favore delle imprese agricole a prevalente o totale partecipazione femminile sono destinate le risorse del </w:t>
      </w:r>
      <w:bookmarkStart w:id="121" w:name="_Hlk83914603"/>
      <w:r w:rsidRPr="00EC14DE">
        <w:rPr>
          <w:rFonts w:cs="Times New Roman"/>
        </w:rPr>
        <w:t>“Fondo rotativo per favorire lo sviluppo dell’imprenditoria femminile in agricoltura”, di cui all’articolo 1, comma 506, della legge 27 dicembre 2019, n. 160</w:t>
      </w:r>
      <w:bookmarkEnd w:id="121"/>
      <w:r w:rsidRPr="00EC14DE">
        <w:rPr>
          <w:rFonts w:cs="Times New Roman"/>
        </w:rPr>
        <w:t>, incrementate per l’anno 2022 di ulteriori 5 milioni.</w:t>
      </w:r>
    </w:p>
    <w:p w14:paraId="40605F8C" w14:textId="77777777" w:rsidR="00656865" w:rsidRPr="00EC14DE" w:rsidRDefault="00656865" w:rsidP="00656865">
      <w:p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C14DE">
        <w:rPr>
          <w:rFonts w:cs="Times New Roman"/>
        </w:rPr>
        <w:t xml:space="preserve">5. </w:t>
      </w:r>
      <w:r w:rsidRPr="00EC14DE">
        <w:rPr>
          <w:rFonts w:cs="Times New Roman"/>
        </w:rPr>
        <w:tab/>
        <w:t xml:space="preserve">Alle attività di cui al Titolo I, Capo III, del decreto legislativo 21 aprile 2000, n. 185 sono destinate risorse pari a 15 milioni di euro per </w:t>
      </w:r>
      <w:r w:rsidR="003F0A08" w:rsidRPr="00EC14DE">
        <w:rPr>
          <w:rFonts w:cs="Times New Roman"/>
        </w:rPr>
        <w:t>l’anno</w:t>
      </w:r>
      <w:r w:rsidRPr="00EC14DE">
        <w:rPr>
          <w:rFonts w:cs="Times New Roman"/>
        </w:rPr>
        <w:t xml:space="preserve"> 2022. </w:t>
      </w:r>
    </w:p>
    <w:p w14:paraId="4C3E58AC" w14:textId="77777777" w:rsidR="00656865" w:rsidRPr="00EC14DE" w:rsidRDefault="00656865" w:rsidP="00656865">
      <w:pPr>
        <w:shd w:val="clear" w:color="auto" w:fill="FFFFFF" w:themeFill="background1"/>
        <w:tabs>
          <w:tab w:val="left" w:pos="426"/>
        </w:tabs>
        <w:textAlignment w:val="baseline"/>
        <w:rPr>
          <w:rFonts w:cs="Times New Roman"/>
        </w:rPr>
      </w:pPr>
      <w:r w:rsidRPr="00EC14DE">
        <w:rPr>
          <w:rFonts w:cs="Times New Roman"/>
        </w:rPr>
        <w:t>6.</w:t>
      </w:r>
      <w:r w:rsidRPr="00EC14DE">
        <w:rPr>
          <w:rFonts w:cs="Times New Roman"/>
        </w:rPr>
        <w:tab/>
        <w:t>1.</w:t>
      </w:r>
      <w:r w:rsidRPr="00EC14DE">
        <w:rPr>
          <w:rFonts w:cs="Times New Roman"/>
        </w:rPr>
        <w:tab/>
        <w:t xml:space="preserve">Al fine di potenziare l’attività di rilevazione dei prezzi dei prodotti agricoli nelle diverse fasi della filiera a supporto degli interventi previsti dall’organizzazione comune di mercato di cui al Regolamento (UE) n. 1308/2013 del Parlamento europeo e del Consiglio del 17 dicembre 2013 e disporre di dati, studi e valutazioni specifiche necessari a definire le strategie settoriale per l’attuazione della nuova fase di programmazione della politica agricola comune, è istituito, nello stato di previsione del Ministero delle politiche agricole, alimentari e forestali, un Fondo con una dotazione di 500.000,00 euro per </w:t>
      </w:r>
      <w:r w:rsidR="003F0A08" w:rsidRPr="00EC14DE">
        <w:rPr>
          <w:rFonts w:cs="Times New Roman"/>
        </w:rPr>
        <w:t>l’anno</w:t>
      </w:r>
      <w:r w:rsidRPr="00EC14DE">
        <w:rPr>
          <w:rFonts w:cs="Times New Roman"/>
        </w:rPr>
        <w:t xml:space="preserve"> 2022, di cui 50.000 euro riservati alle attività di rilevazione nel settore dell’olio. </w:t>
      </w:r>
    </w:p>
    <w:p w14:paraId="0EDC9E05" w14:textId="77777777" w:rsidR="003D3FC7" w:rsidRPr="00EC14DE" w:rsidRDefault="003D3FC7" w:rsidP="003D3FC7">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(Iva agevolata per la cessione di bovini e suini)</w:t>
      </w:r>
    </w:p>
    <w:p w14:paraId="40A6EFFF" w14:textId="77777777" w:rsidR="003D3FC7" w:rsidRPr="00EC14DE" w:rsidRDefault="003D3FC7" w:rsidP="003D3FC7">
      <w:pPr>
        <w:rPr>
          <w:rFonts w:cs="Times New Roman"/>
        </w:rPr>
      </w:pPr>
      <w:r w:rsidRPr="00EC14DE">
        <w:rPr>
          <w:rFonts w:cs="Times New Roman"/>
        </w:rPr>
        <w:t>1. All’ articolo 1, comma 506 della legge 27 dicembre 2017, n. 205, all’ultimo periodo le parole “Per l’anno 2021” sono sostituite dalle seguenti: “Per gli anni 2021 e 2022”.</w:t>
      </w:r>
    </w:p>
    <w:p w14:paraId="5F51DCBB" w14:textId="77777777" w:rsidR="001540FE" w:rsidRPr="00EC14DE" w:rsidRDefault="001540FE" w:rsidP="001540FE">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(Esercizio delle funzioni in materia di pesca marittima per le Capitanerie di porto- Guardia costiera)</w:t>
      </w:r>
    </w:p>
    <w:p w14:paraId="628DDCA1" w14:textId="77777777" w:rsidR="001540FE" w:rsidRPr="00EC14DE" w:rsidRDefault="001540FE" w:rsidP="001540FE">
      <w:pPr>
        <w:widowControl w:val="0"/>
      </w:pPr>
      <w:r w:rsidRPr="00EC14DE">
        <w:t>1. Al fine di assicurare alle Capitanerie di porto-Guardia costiera l’esercizio del complesso delle funzioni di amministrazione, gestione, vigilanza e controllo in materia di pesca marittima, ad esse affidate, anche in via esclusiva, dal decreto del Presidente della Repubblica 2 ottobre 1968, n. 1639, dall’articolo 3 della legge 28 gennaio1994, n.84, dall’articolo 136 del decreto legislativo 15 marzo 2010, n. 66 e dal decreto legislativo 9 gennaio 2012, n. 4, è autorizzata la spesa di 4 milioni di euro a decorrere dall'anno 2022, da iscrivere nello stato di previsione del Ministero delle politiche agricole, alimentari e forestali.</w:t>
      </w:r>
    </w:p>
    <w:p w14:paraId="7755FF80" w14:textId="77777777" w:rsidR="003D3FC7" w:rsidRPr="00EC14DE" w:rsidRDefault="003D3FC7" w:rsidP="003D3FC7">
      <w:pPr>
        <w:pStyle w:val="Titolo3"/>
        <w:keepNext w:val="0"/>
        <w:keepLines w:val="0"/>
        <w:widowControl w:val="0"/>
        <w:rPr>
          <w:rFonts w:cs="Times New Roman"/>
          <w:b w:val="0"/>
          <w:bCs/>
          <w:sz w:val="28"/>
          <w:szCs w:val="28"/>
        </w:rPr>
      </w:pPr>
      <w:r w:rsidRPr="00EC14DE">
        <w:t xml:space="preserve">ART. </w:t>
      </w:r>
      <w:r w:rsidRPr="00EC14DE">
        <w:fldChar w:fldCharType="begin"/>
      </w:r>
      <w:r w:rsidRPr="00EC14DE">
        <w:instrText xml:space="preserve"> AUTONUM  \* Arabic </w:instrText>
      </w:r>
      <w:r w:rsidRPr="00EC14DE">
        <w:fldChar w:fldCharType="end"/>
      </w:r>
      <w:r w:rsidRPr="00EC14DE">
        <w:br/>
        <w:t>(Attuazione Strategia forestale nazionale di cui all’articolo 6, del decreto legislativo 3 aprile 2018, n. 34)</w:t>
      </w:r>
    </w:p>
    <w:p w14:paraId="3937CABC" w14:textId="77777777" w:rsidR="003D3FC7" w:rsidRPr="00EC14DE" w:rsidRDefault="003D3FC7" w:rsidP="003D3FC7">
      <w:pPr>
        <w:widowControl w:val="0"/>
      </w:pPr>
      <w:r w:rsidRPr="00EC14DE">
        <w:t xml:space="preserve">1. Al fine di assicurare l’attuazione della strategia forestale nazionale prevista dall’articolo 6 del decreto legislativo 3 aprile 2018, n. 34, è istituito, nello stato di previsione del Ministero delle politiche agricole alimentari e forestali un Fondo con una dotazione di 30 milioni di euro per ciascuno </w:t>
      </w:r>
      <w:r w:rsidR="008B3734" w:rsidRPr="00EC14DE">
        <w:t>degli anni 2022 e</w:t>
      </w:r>
      <w:r w:rsidRPr="00EC14DE">
        <w:t xml:space="preserve"> 2023 e di 40 milioni di euro </w:t>
      </w:r>
      <w:r w:rsidR="00DF472F" w:rsidRPr="00EC14DE">
        <w:t>per ciascuno degli anni dal 2024 al 2032</w:t>
      </w:r>
      <w:r w:rsidRPr="00EC14DE">
        <w:t>. Con decreto del Ministro delle politiche agricole alimentari e forestali, di concerto con il Ministro dell’economia e delle finanze, previa intesa in sede di Conferenza permanente per i rapporti tra lo Stato, le Regioni e le Province autonome di Trento e di Bolzano, da adottare entro sessanta giorni dalla data di entrata in vigore della presente legge, sono definiti i criteri e le modalità di utilizzo delle risorse del fondo di cui al primo periodo.</w:t>
      </w:r>
    </w:p>
    <w:p w14:paraId="2C69643E" w14:textId="77777777" w:rsidR="000B1BA3" w:rsidRPr="00EC14DE" w:rsidRDefault="000B1BA3">
      <w:pPr>
        <w:spacing w:after="160" w:line="259" w:lineRule="auto"/>
        <w:jc w:val="left"/>
        <w:rPr>
          <w:rFonts w:eastAsiaTheme="majorEastAsia" w:cstheme="majorBidi"/>
          <w:b/>
          <w:sz w:val="24"/>
          <w:szCs w:val="32"/>
        </w:rPr>
      </w:pPr>
      <w:r w:rsidRPr="00EC14DE">
        <w:br w:type="page"/>
      </w:r>
    </w:p>
    <w:p w14:paraId="62375F1C" w14:textId="77777777" w:rsidR="00FF3662" w:rsidRPr="00EC14DE" w:rsidRDefault="00FF3662" w:rsidP="007C594F">
      <w:pPr>
        <w:pStyle w:val="Titolo1"/>
        <w:keepNext w:val="0"/>
        <w:keepLines w:val="0"/>
        <w:widowControl w:val="0"/>
      </w:pPr>
      <w:r w:rsidRPr="00EC14DE">
        <w:t>Titolo X</w:t>
      </w:r>
      <w:r w:rsidR="0050370D" w:rsidRPr="00EC14DE">
        <w:t>I</w:t>
      </w:r>
      <w:r w:rsidR="0085155B" w:rsidRPr="00EC14DE">
        <w:t>I</w:t>
      </w:r>
      <w:r w:rsidR="00613D3E" w:rsidRPr="00EC14DE">
        <w:br/>
      </w:r>
      <w:r w:rsidRPr="00EC14DE">
        <w:t>Re</w:t>
      </w:r>
      <w:r w:rsidR="00E60393" w:rsidRPr="00EC14DE">
        <w:t xml:space="preserve">gioni e </w:t>
      </w:r>
      <w:r w:rsidRPr="00EC14DE">
        <w:t>Enti locali</w:t>
      </w:r>
      <w:r w:rsidR="00A74AF1" w:rsidRPr="00EC14DE">
        <w:t xml:space="preserve"> </w:t>
      </w:r>
    </w:p>
    <w:p w14:paraId="0148A50B" w14:textId="77777777" w:rsidR="00D94C0D" w:rsidRPr="00EC14DE" w:rsidRDefault="00D94C0D" w:rsidP="00D94C0D">
      <w:pPr>
        <w:pStyle w:val="Titolo3"/>
        <w:rPr>
          <w:bCs/>
          <w:iCs/>
          <w:szCs w:val="22"/>
        </w:rPr>
      </w:pPr>
      <w:r w:rsidRPr="00EC14DE">
        <w:t xml:space="preserve">ART. </w:t>
      </w:r>
      <w:r w:rsidRPr="00EC14DE">
        <w:fldChar w:fldCharType="begin"/>
      </w:r>
      <w:r w:rsidRPr="00EC14DE">
        <w:instrText xml:space="preserve"> AUTONUM  \* Arabic </w:instrText>
      </w:r>
      <w:r w:rsidRPr="00EC14DE">
        <w:fldChar w:fldCharType="end"/>
      </w:r>
      <w:r w:rsidRPr="00EC14DE">
        <w:rPr>
          <w:bCs/>
          <w:iCs/>
          <w:szCs w:val="22"/>
        </w:rPr>
        <w:br/>
        <w:t>(Ponti e viadotti)</w:t>
      </w:r>
    </w:p>
    <w:p w14:paraId="5AF051BD" w14:textId="77777777" w:rsidR="003A68D0" w:rsidRPr="00EC14DE" w:rsidRDefault="003A68D0" w:rsidP="003A68D0">
      <w:pPr>
        <w:pStyle w:val="wordsection1"/>
        <w:jc w:val="both"/>
        <w:rPr>
          <w:sz w:val="22"/>
          <w:szCs w:val="22"/>
        </w:rPr>
      </w:pPr>
      <w:r w:rsidRPr="00EC14DE">
        <w:rPr>
          <w:sz w:val="22"/>
          <w:szCs w:val="22"/>
        </w:rPr>
        <w:t>1. Al fine di garantire la continuità degli interventi per la messa in sicurezza dei ponti e viadotti esistenti e la realizzazione di nuovi ponti in sostituzione di quelli esistenti con problemi strutturali di sicurezza è autorizzata la spesa di 100 milioni di euro per ciascuno degli anni 2024 e 2025 e 300 milioni di euro per ciascuno degli anni dal 2026 al 2029.</w:t>
      </w:r>
    </w:p>
    <w:p w14:paraId="507CA916" w14:textId="77777777" w:rsidR="00D94C0D" w:rsidRPr="00EC14DE" w:rsidRDefault="003A68D0" w:rsidP="003A68D0">
      <w:pPr>
        <w:pStyle w:val="wordsection1"/>
        <w:jc w:val="both"/>
        <w:rPr>
          <w:sz w:val="22"/>
          <w:szCs w:val="22"/>
        </w:rPr>
      </w:pPr>
      <w:r w:rsidRPr="00EC14DE">
        <w:rPr>
          <w:sz w:val="22"/>
          <w:szCs w:val="22"/>
        </w:rPr>
        <w:t xml:space="preserve">2. Con decreto del Ministro delle infrastrutture e </w:t>
      </w:r>
      <w:r w:rsidR="008E2E20" w:rsidRPr="00EC14DE">
        <w:rPr>
          <w:sz w:val="22"/>
          <w:szCs w:val="22"/>
        </w:rPr>
        <w:t>della mobilità sostenibili</w:t>
      </w:r>
      <w:r w:rsidRPr="00EC14DE">
        <w:rPr>
          <w:sz w:val="22"/>
          <w:szCs w:val="22"/>
        </w:rPr>
        <w:t xml:space="preserve">, di concerto con il Ministro dell'economia e delle finanze, da emanare entro il 30 giugno 2023, sono definiti previa intesa in sede di Conferenza Stato-città ed autonomie locali, le modalità di riparto e l'assegnazione delle risorse a favore delle città metropolitane e delle province territorialmente competenti. I soggetti attuatori certificano l'avvenuta realizzazione degli investimenti di cui al presente comma entro l'anno successivo a quello di utilizzazione dei fondi, mediante presentazione di apposito rendiconto al Ministero delle infrastrutture e </w:t>
      </w:r>
      <w:r w:rsidR="008E2E20" w:rsidRPr="00EC14DE">
        <w:rPr>
          <w:sz w:val="22"/>
          <w:szCs w:val="22"/>
        </w:rPr>
        <w:t>della mobilità sostenibili</w:t>
      </w:r>
      <w:r w:rsidRPr="00EC14DE">
        <w:rPr>
          <w:sz w:val="22"/>
          <w:szCs w:val="22"/>
        </w:rPr>
        <w:t xml:space="preserve"> sulla base delle risultanze del monitoraggio sullo stato di attuazione delle opere pubbliche di cui al decreto legislativo 29 dicembre 2011, n. 229.</w:t>
      </w:r>
    </w:p>
    <w:p w14:paraId="596F85BC" w14:textId="77777777" w:rsidR="00D94C0D" w:rsidRPr="00EC14DE" w:rsidRDefault="00D94C0D" w:rsidP="00206B22">
      <w:pPr>
        <w:pStyle w:val="Titolo3"/>
        <w:rPr>
          <w:bCs/>
          <w:iCs/>
        </w:rPr>
      </w:pPr>
      <w:r w:rsidRPr="00EC14DE">
        <w:t xml:space="preserve">ART. </w:t>
      </w:r>
      <w:r w:rsidRPr="00EC14DE">
        <w:fldChar w:fldCharType="begin"/>
      </w:r>
      <w:r w:rsidRPr="00EC14DE">
        <w:instrText xml:space="preserve"> AUTONUM  \* Arabic </w:instrText>
      </w:r>
      <w:r w:rsidRPr="00EC14DE">
        <w:fldChar w:fldCharType="end"/>
      </w:r>
      <w:r w:rsidRPr="00EC14DE">
        <w:rPr>
          <w:bCs/>
          <w:iCs/>
        </w:rPr>
        <w:br/>
        <w:t>(Manutenzione scuole)</w:t>
      </w:r>
    </w:p>
    <w:p w14:paraId="266A67D9" w14:textId="77777777" w:rsidR="00D94C0D" w:rsidRPr="00EC14DE" w:rsidRDefault="00852EBC" w:rsidP="00852EBC">
      <w:pPr>
        <w:pStyle w:val="wordsection1"/>
        <w:contextualSpacing/>
        <w:jc w:val="both"/>
        <w:rPr>
          <w:sz w:val="22"/>
          <w:szCs w:val="22"/>
        </w:rPr>
      </w:pPr>
      <w:r w:rsidRPr="00EC14DE">
        <w:rPr>
          <w:sz w:val="22"/>
          <w:szCs w:val="22"/>
        </w:rPr>
        <w:t xml:space="preserve">1. </w:t>
      </w:r>
      <w:r w:rsidR="00D94C0D" w:rsidRPr="00EC14DE">
        <w:rPr>
          <w:sz w:val="22"/>
          <w:szCs w:val="22"/>
        </w:rPr>
        <w:t>All’articolo 1 della legge 27 dicembre 2019, n. 160, sono apportate le seguenti modificazioni:</w:t>
      </w:r>
    </w:p>
    <w:p w14:paraId="5B1EAE8C" w14:textId="77777777" w:rsidR="008E18FF" w:rsidRPr="00EC14DE" w:rsidRDefault="00E64DEE" w:rsidP="00852EBC">
      <w:pPr>
        <w:pStyle w:val="wordsection1"/>
        <w:jc w:val="both"/>
        <w:rPr>
          <w:sz w:val="22"/>
          <w:szCs w:val="22"/>
        </w:rPr>
      </w:pPr>
      <w:r w:rsidRPr="00EC14DE">
        <w:rPr>
          <w:sz w:val="22"/>
          <w:szCs w:val="22"/>
        </w:rPr>
        <w:t xml:space="preserve">a) al comma 63, dopo la parola “2024” sostituire le parole “e 225 milioni di euro per ciascuno degli anni dal 2025 al 2029” con le seguenti: “, </w:t>
      </w:r>
      <w:r w:rsidR="00615508" w:rsidRPr="00EC14DE">
        <w:rPr>
          <w:sz w:val="22"/>
          <w:szCs w:val="22"/>
        </w:rPr>
        <w:t xml:space="preserve">“per l’anno 2023, 530 milioni di euro per l’anno 2024, 235 milioni di euro per l’anno 2025, 245 milioni di euro per ciascuno degli anni 2026 e 2027, 250 milioni di euro per ciascuno degli anni 2028 e 2029, 260 milioni di euro per l’anno 2030, 335 milioni di euro per l’anno 2031 e </w:t>
      </w:r>
      <w:r w:rsidRPr="00EC14DE">
        <w:rPr>
          <w:sz w:val="22"/>
          <w:szCs w:val="22"/>
        </w:rPr>
        <w:t>400 milioni di euro per ciascuno degli anni dal 203</w:t>
      </w:r>
      <w:r w:rsidR="00615508" w:rsidRPr="00EC14DE">
        <w:rPr>
          <w:sz w:val="22"/>
          <w:szCs w:val="22"/>
        </w:rPr>
        <w:t>2</w:t>
      </w:r>
      <w:r w:rsidRPr="00EC14DE">
        <w:rPr>
          <w:sz w:val="22"/>
          <w:szCs w:val="22"/>
        </w:rPr>
        <w:t xml:space="preserve"> al 2036”;</w:t>
      </w:r>
    </w:p>
    <w:p w14:paraId="431B0BF9" w14:textId="77777777" w:rsidR="00D94C0D" w:rsidRPr="00EC14DE" w:rsidRDefault="00852EBC" w:rsidP="00852EBC">
      <w:pPr>
        <w:pStyle w:val="wordsection1"/>
        <w:jc w:val="both"/>
        <w:rPr>
          <w:sz w:val="22"/>
          <w:szCs w:val="22"/>
        </w:rPr>
      </w:pPr>
      <w:r w:rsidRPr="00EC14DE">
        <w:rPr>
          <w:sz w:val="22"/>
          <w:szCs w:val="22"/>
        </w:rPr>
        <w:t>b) a</w:t>
      </w:r>
      <w:r w:rsidR="00D94C0D" w:rsidRPr="00EC14DE">
        <w:rPr>
          <w:sz w:val="22"/>
          <w:szCs w:val="22"/>
        </w:rPr>
        <w:t>l comma 64, primo periodo, dopo le parole “31 marzo 2020”, aggiungere le seguenti “</w:t>
      </w:r>
      <w:r w:rsidR="00D94C0D" w:rsidRPr="00EC14DE">
        <w:rPr>
          <w:iCs/>
          <w:sz w:val="22"/>
          <w:szCs w:val="22"/>
        </w:rPr>
        <w:t xml:space="preserve">per il periodo 2020-2029, ed entro </w:t>
      </w:r>
      <w:r w:rsidR="00E64DEE" w:rsidRPr="00EC14DE">
        <w:rPr>
          <w:iCs/>
          <w:sz w:val="22"/>
          <w:szCs w:val="22"/>
        </w:rPr>
        <w:t xml:space="preserve">la data del </w:t>
      </w:r>
      <w:r w:rsidR="00D94C0D" w:rsidRPr="00EC14DE">
        <w:rPr>
          <w:iCs/>
          <w:sz w:val="22"/>
          <w:szCs w:val="22"/>
        </w:rPr>
        <w:t>30 giugno 2029, per il periodo 2030-2036</w:t>
      </w:r>
      <w:r w:rsidR="00D94C0D" w:rsidRPr="00EC14DE">
        <w:rPr>
          <w:sz w:val="22"/>
          <w:szCs w:val="22"/>
        </w:rPr>
        <w:t xml:space="preserve">,” e al secondo periodo, </w:t>
      </w:r>
      <w:r w:rsidR="00E64DEE" w:rsidRPr="00EC14DE">
        <w:rPr>
          <w:sz w:val="22"/>
          <w:szCs w:val="22"/>
        </w:rPr>
        <w:t xml:space="preserve">ovunque ricorrano </w:t>
      </w:r>
      <w:r w:rsidR="00D94C0D" w:rsidRPr="00EC14DE">
        <w:rPr>
          <w:sz w:val="22"/>
          <w:szCs w:val="22"/>
        </w:rPr>
        <w:t>le parole “del decreto” sono sostituite dalle seguenti “</w:t>
      </w:r>
      <w:r w:rsidR="00D94C0D" w:rsidRPr="00EC14DE">
        <w:rPr>
          <w:iCs/>
          <w:sz w:val="22"/>
          <w:szCs w:val="22"/>
        </w:rPr>
        <w:t>dei decreti</w:t>
      </w:r>
      <w:r w:rsidR="00D94C0D" w:rsidRPr="00EC14DE">
        <w:rPr>
          <w:sz w:val="22"/>
          <w:szCs w:val="22"/>
        </w:rPr>
        <w:t>”.</w:t>
      </w:r>
    </w:p>
    <w:p w14:paraId="7FA7247F" w14:textId="77777777" w:rsidR="00793C2C" w:rsidRPr="00EC14DE" w:rsidRDefault="00793C2C"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(Rigenerazione</w:t>
      </w:r>
      <w:r w:rsidR="006E44A3" w:rsidRPr="00EC14DE">
        <w:t xml:space="preserve"> urbana</w:t>
      </w:r>
      <w:r w:rsidR="00EB1167" w:rsidRPr="00EC14DE">
        <w:t xml:space="preserve"> per i comuni con popolazione</w:t>
      </w:r>
      <w:r w:rsidR="006E44A3" w:rsidRPr="00EC14DE">
        <w:t xml:space="preserve"> </w:t>
      </w:r>
      <w:r w:rsidR="00EB1167" w:rsidRPr="00EC14DE">
        <w:t xml:space="preserve">inferiore a </w:t>
      </w:r>
      <w:r w:rsidR="006E44A3" w:rsidRPr="00EC14DE">
        <w:t>15.000 abitanti</w:t>
      </w:r>
      <w:r w:rsidRPr="00EC14DE">
        <w:t xml:space="preserve">) </w:t>
      </w:r>
    </w:p>
    <w:p w14:paraId="4A30228F" w14:textId="77777777" w:rsidR="004A2FC6" w:rsidRPr="00EC14DE" w:rsidRDefault="00AB199B" w:rsidP="007C594F">
      <w:pPr>
        <w:widowControl w:val="0"/>
      </w:pPr>
      <w:r w:rsidRPr="00EC14DE">
        <w:t xml:space="preserve">1. </w:t>
      </w:r>
      <w:r w:rsidR="004A2FC6" w:rsidRPr="00EC14DE">
        <w:t>Al fine di favorire gli investimenti in progetti di rigenerazione urbana, volti alla riduzione di fenomeni di marginalizzazione e degrado sociale, nonché al miglioramento della qualità del decoro urbano e del tessuto sociale ed ambientale sono assegnati ai comuni di cui al comma 2 contributi per investimenti nel limite complessivo di 300 milioni di euro per l’anno 2022.</w:t>
      </w:r>
    </w:p>
    <w:p w14:paraId="33AA9CB2" w14:textId="77777777" w:rsidR="004A2FC6" w:rsidRPr="00EC14DE" w:rsidRDefault="004A2FC6" w:rsidP="007C594F">
      <w:pPr>
        <w:widowControl w:val="0"/>
      </w:pPr>
      <w:r w:rsidRPr="00EC14DE">
        <w:t>2.</w:t>
      </w:r>
      <w:r w:rsidR="00AB199B" w:rsidRPr="00EC14DE">
        <w:t xml:space="preserve"> </w:t>
      </w:r>
      <w:r w:rsidRPr="00EC14DE">
        <w:t>Possono richiedere i contributi di cui al comma 1:</w:t>
      </w:r>
    </w:p>
    <w:p w14:paraId="334A1CDA" w14:textId="77777777" w:rsidR="004A2FC6" w:rsidRPr="00EC14DE" w:rsidRDefault="004A2FC6" w:rsidP="007C594F">
      <w:pPr>
        <w:widowControl w:val="0"/>
      </w:pPr>
      <w:r w:rsidRPr="00EC14DE">
        <w:t>a)</w:t>
      </w:r>
      <w:r w:rsidR="00AB199B" w:rsidRPr="00EC14DE">
        <w:t xml:space="preserve"> </w:t>
      </w:r>
      <w:r w:rsidRPr="00EC14DE">
        <w:t>i comuni con popolazione inferiore a 15.000 abitanti che, in forma associata, presentano una popolazione superiore a 15.000 abitanti, nel limite massimo di 5.000.000 di euro. La domanda è presentata dal comune capofila;</w:t>
      </w:r>
    </w:p>
    <w:p w14:paraId="3D4195E9" w14:textId="77777777" w:rsidR="004A2FC6" w:rsidRPr="00EC14DE" w:rsidRDefault="004A2FC6" w:rsidP="007C594F">
      <w:pPr>
        <w:widowControl w:val="0"/>
      </w:pPr>
      <w:r w:rsidRPr="00EC14DE">
        <w:t>b)</w:t>
      </w:r>
      <w:r w:rsidR="00AB199B" w:rsidRPr="00EC14DE">
        <w:t xml:space="preserve"> </w:t>
      </w:r>
      <w:r w:rsidRPr="00EC14DE">
        <w:t>i comuni che non risultano beneficiari delle risorse attribuite con il decreto del Ministero dell’interno, di concerto con il Ministero dell’economia e delle finanze e con il Ministero delle infrastrutture e dei trasporti di cui all’articolo 5 del decreto del Presidente del Consiglio dei ministri 21 gennaio 2021, nel limite massimo della differenza tra gli importi previsti dall’articolo 2, comma 2, del citato DPCM e le risorse attribuite dal predetto decreto del Ministero dell’interno.</w:t>
      </w:r>
    </w:p>
    <w:p w14:paraId="1820E6C3" w14:textId="77777777" w:rsidR="004A2FC6" w:rsidRPr="00EC14DE" w:rsidRDefault="004A2FC6" w:rsidP="007C594F">
      <w:pPr>
        <w:widowControl w:val="0"/>
      </w:pPr>
      <w:r w:rsidRPr="00EC14DE">
        <w:t>3.</w:t>
      </w:r>
      <w:r w:rsidR="00AB199B" w:rsidRPr="00EC14DE">
        <w:t xml:space="preserve"> </w:t>
      </w:r>
      <w:r w:rsidRPr="00EC14DE">
        <w:t>Gli enti di cui al comma 2 comunicano le richieste di contributo per singole opere pubbliche o insiemi coordinati di interventi pubblici al Ministero dell'interno entro il termine perentorio del 31 marzo 2022. La richiesta deve contenere:</w:t>
      </w:r>
    </w:p>
    <w:p w14:paraId="41417585" w14:textId="77777777" w:rsidR="004A2FC6" w:rsidRPr="00EC14DE" w:rsidRDefault="004A2FC6" w:rsidP="007C594F">
      <w:pPr>
        <w:widowControl w:val="0"/>
      </w:pPr>
      <w:r w:rsidRPr="00EC14DE">
        <w:t>a)</w:t>
      </w:r>
      <w:r w:rsidR="00AB199B" w:rsidRPr="00EC14DE">
        <w:t xml:space="preserve"> </w:t>
      </w:r>
      <w:r w:rsidRPr="00EC14DE">
        <w:t>la tipologia dell’opera che può essere relativa a: i) manutenzione per il riuso e rifunzionalizzazione di aree pubbliche e di strutture edilizie esistenti pubbliche per finalità di interesse pubblico, anche compresa la demolizione di opere abusive realizzate da privati in assenza o totale difformità dal permesso di costruire e la sistemazione delle pertinenti aree; ii) miglioramento della qualità del decoro urbano e del tessuto sociale e ambientale, anche mediante interventi di ristrutturazione edilizia di immobili pubblici, con particolare riferimento allo sviluppo dei servizi sociali e culturali, educativi e didattici, ovvero alla promozione delle attività culturali e sportive; iii) mobilità sostenibile;</w:t>
      </w:r>
    </w:p>
    <w:p w14:paraId="07464F61" w14:textId="77777777" w:rsidR="004A2FC6" w:rsidRPr="00EC14DE" w:rsidRDefault="004A2FC6" w:rsidP="007C594F">
      <w:pPr>
        <w:widowControl w:val="0"/>
      </w:pPr>
      <w:r w:rsidRPr="00EC14DE">
        <w:t>b)</w:t>
      </w:r>
      <w:r w:rsidR="00AB199B" w:rsidRPr="00EC14DE">
        <w:t xml:space="preserve"> </w:t>
      </w:r>
      <w:r w:rsidRPr="00EC14DE">
        <w:t>il quadro economico dell'opera, il cronoprogramma dei lavori, nonché le informazioni riferite al codice unico di progetto (CUP) e ad eventuali forme di finanziamento concesse da altri soggetti sulla stessa opera. La mancanza dell'indicazione di un CUP valido ovvero l'errata indicazione in relazione all'opera per la quale viene chiesto il contributo comporta l'esclusione dalla procedura;</w:t>
      </w:r>
    </w:p>
    <w:p w14:paraId="2F5FEA78" w14:textId="77777777" w:rsidR="004A2FC6" w:rsidRPr="00EC14DE" w:rsidRDefault="004A2FC6" w:rsidP="007C594F">
      <w:pPr>
        <w:widowControl w:val="0"/>
      </w:pPr>
      <w:r w:rsidRPr="00EC14DE">
        <w:t>c)</w:t>
      </w:r>
      <w:r w:rsidR="00AB199B" w:rsidRPr="00EC14DE">
        <w:t xml:space="preserve"> </w:t>
      </w:r>
      <w:r w:rsidRPr="00EC14DE">
        <w:t>nel caso di comuni in forma associata, l’elenco di comuni che fanno parte della forma associativa.</w:t>
      </w:r>
    </w:p>
    <w:p w14:paraId="0DB2DA35" w14:textId="77777777" w:rsidR="004A2FC6" w:rsidRPr="00EC14DE" w:rsidRDefault="004A2FC6" w:rsidP="007C594F">
      <w:pPr>
        <w:widowControl w:val="0"/>
      </w:pPr>
      <w:r w:rsidRPr="00EC14DE">
        <w:t>4.</w:t>
      </w:r>
      <w:r w:rsidR="00AB199B" w:rsidRPr="00EC14DE">
        <w:t xml:space="preserve"> </w:t>
      </w:r>
      <w:r w:rsidRPr="00EC14DE">
        <w:t>L'ammontare del contributo attribuito a ciascun comune è determinato, con decreto del Ministero dell'interno, di concerto con il Ministero dell'economia e delle finanze, da adottare entro il 30 giugno 2022. Qualora l'entità delle richieste pervenute superi l'ammontare delle risorse disponibili, l'attribuzione è effettuata a favore dei comuni che presentano un valore più elevato dell’indice di vulnerabilità sociale e materiale (IVSM). Nel caso di forme associate è calcolata la media semplice dell’indice di vulnerabilità sociale e materiale (IVSM). L’attribuzione del contributo sulla base della graduatoria di cui al secondo periodo, nel limite delle risorse disponibili pari a 300 milioni di euro per l’anno 2022, è fatta assicurando il rispetto dell’articolo 7-bis, comma 2, del decreto legge 29 dicembre 2016, n. 243, in materia di assegnazione differenziale di risorse aggiuntive alle regioni ivi indicate.</w:t>
      </w:r>
    </w:p>
    <w:p w14:paraId="2169EA37" w14:textId="77777777" w:rsidR="004A2FC6" w:rsidRPr="00EC14DE" w:rsidRDefault="004A2FC6" w:rsidP="007C594F">
      <w:pPr>
        <w:widowControl w:val="0"/>
      </w:pPr>
      <w:r w:rsidRPr="00EC14DE">
        <w:t>5. Il comune beneficiario del contributo è tenuto ad affidare i lavori entro i termini di seguito indicati, decorrenti dalla data di emanazione del decreto di cui al comma 4:</w:t>
      </w:r>
    </w:p>
    <w:p w14:paraId="774AF3FA" w14:textId="77777777" w:rsidR="004A2FC6" w:rsidRPr="00EC14DE" w:rsidRDefault="004A2FC6" w:rsidP="007C594F">
      <w:pPr>
        <w:widowControl w:val="0"/>
      </w:pPr>
      <w:r w:rsidRPr="00EC14DE">
        <w:t xml:space="preserve">a) per le opere il cui costo è inferiore a 2.500.000 euro l'affidamento dei lavori deve avvenire entro quindici mesi; </w:t>
      </w:r>
    </w:p>
    <w:p w14:paraId="117EC046" w14:textId="77777777" w:rsidR="004A2FC6" w:rsidRPr="00EC14DE" w:rsidRDefault="004A2FC6" w:rsidP="007C594F">
      <w:pPr>
        <w:widowControl w:val="0"/>
      </w:pPr>
      <w:r w:rsidRPr="00EC14DE">
        <w:t xml:space="preserve">b) per le opere il cui costo è superiore a 2.500.000 di euro l'affidamento dei lavori deve avvenire entro venti mesi. </w:t>
      </w:r>
    </w:p>
    <w:p w14:paraId="46A2FA0C" w14:textId="77777777" w:rsidR="004A2FC6" w:rsidRPr="00EC14DE" w:rsidRDefault="004A2FC6" w:rsidP="007C594F">
      <w:pPr>
        <w:widowControl w:val="0"/>
      </w:pPr>
      <w:r w:rsidRPr="00EC14DE">
        <w:t>6. Nel caso di mancato rispetto dei termini di cui al comma 5, il contributo è revocato con decreto del Ministero dell'interno.</w:t>
      </w:r>
    </w:p>
    <w:p w14:paraId="755F762C" w14:textId="77777777" w:rsidR="004A2FC6" w:rsidRPr="00EC14DE" w:rsidRDefault="004A2FC6" w:rsidP="007C594F">
      <w:pPr>
        <w:widowControl w:val="0"/>
      </w:pPr>
      <w:r w:rsidRPr="00EC14DE">
        <w:t>7. I risparmi derivanti da eventuali ribassi d'asta sono vincolati fino al collaudo ovvero alla regolare esecuzione di cui al comma 8 e successivamente possono essere utilizzati dal medesimo ente beneficiario per ulteriori investimenti, per le medesime finalità previste dal comma 1, a condizione che gli stessi vengano impegnati entro sei mesi dal collaudo, ovvero dalla regolare esecuzione.</w:t>
      </w:r>
    </w:p>
    <w:p w14:paraId="6A4571B0" w14:textId="77777777" w:rsidR="004A2FC6" w:rsidRPr="00EC14DE" w:rsidRDefault="004A2FC6" w:rsidP="007C594F">
      <w:pPr>
        <w:widowControl w:val="0"/>
      </w:pPr>
      <w:r w:rsidRPr="00EC14DE">
        <w:t>8. I contributi assegnati con il decreto di cui al comma 4 sono erogati dal Ministero dell'interno agli enti beneficiari nel seguente modo:</w:t>
      </w:r>
    </w:p>
    <w:p w14:paraId="052768F3" w14:textId="77777777" w:rsidR="004A2FC6" w:rsidRPr="00EC14DE" w:rsidRDefault="004A2FC6" w:rsidP="007C594F">
      <w:pPr>
        <w:widowControl w:val="0"/>
      </w:pPr>
      <w:r w:rsidRPr="00EC14DE">
        <w:t>a) 20 per cento previa verifica dell’affidamento dei lavori entro i termini di cui al comma 5;</w:t>
      </w:r>
    </w:p>
    <w:p w14:paraId="53F1D6FE" w14:textId="77777777" w:rsidR="004A2FC6" w:rsidRPr="00EC14DE" w:rsidRDefault="004A2FC6" w:rsidP="007C594F">
      <w:pPr>
        <w:widowControl w:val="0"/>
      </w:pPr>
      <w:r w:rsidRPr="00EC14DE">
        <w:t>b) 70 per cento sulla base degli stati di avanzamento dei lavori così come risultanti dal sistema di monitoraggio di cui al comma 9;</w:t>
      </w:r>
    </w:p>
    <w:p w14:paraId="7FD1A842" w14:textId="77777777" w:rsidR="004A2FC6" w:rsidRPr="00EC14DE" w:rsidRDefault="00AB199B" w:rsidP="007C594F">
      <w:pPr>
        <w:widowControl w:val="0"/>
      </w:pPr>
      <w:r w:rsidRPr="00EC14DE">
        <w:t xml:space="preserve">c) </w:t>
      </w:r>
      <w:r w:rsidR="004A2FC6" w:rsidRPr="00EC14DE">
        <w:t>10 per cento previa trasmissione al Ministero dell'interno del certificato di collaudo o del certificato di regolare esecuzione rilasciato per i lavori dal direttore dei lavori, ai sensi dell'articolo 102 del codice di cui al decreto legislativo 18 aprile 2016, n. 50. I relativi passaggi amministrativi sono altresì rilevati tramite il sistema di monitoraggio di cui al comma 9.</w:t>
      </w:r>
    </w:p>
    <w:p w14:paraId="2930F1F3" w14:textId="77777777" w:rsidR="004A2FC6" w:rsidRPr="00EC14DE" w:rsidRDefault="004A2FC6" w:rsidP="007C594F">
      <w:pPr>
        <w:widowControl w:val="0"/>
      </w:pPr>
      <w:r w:rsidRPr="00EC14DE">
        <w:t>9. Il monitoraggio delle opere pubbliche di cui ai commi da 1 a 8 è effettuato dai comuni beneficiari attraverso il sistema previsto dal decreto legislativo 29 dicembre 2011, n. 229, classificando le opere sotto la voce «Contributo investimenti rigenerazione urbana legge di bilancio 2022». Non trova applicazione l’articolo 158 del decreto legislativo 18 agosto 2000, 267.</w:t>
      </w:r>
    </w:p>
    <w:p w14:paraId="55BEC86C" w14:textId="77777777" w:rsidR="00380CDB" w:rsidRPr="00EC14DE" w:rsidRDefault="00EB1167" w:rsidP="00752CD3">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r>
      <w:r w:rsidR="00380CDB" w:rsidRPr="00EC14DE">
        <w:t>(</w:t>
      </w:r>
      <w:r w:rsidR="0042174D" w:rsidRPr="00EC14DE">
        <w:t>Accordi tra il Governo e le Autonomie Speciali in materia di finanza pubblica per gli anni 2022 e successivi</w:t>
      </w:r>
      <w:r w:rsidR="00752CD3" w:rsidRPr="00EC14DE">
        <w:t xml:space="preserve"> e disposizioni di interpretazione</w:t>
      </w:r>
      <w:r w:rsidR="00786FCF" w:rsidRPr="00EC14DE">
        <w:t xml:space="preserve"> autentica</w:t>
      </w:r>
      <w:r w:rsidR="00752CD3" w:rsidRPr="00EC14DE">
        <w:t xml:space="preserve"> in materia di finanziamento della spesa sanitaria</w:t>
      </w:r>
      <w:r w:rsidR="00053B5A" w:rsidRPr="00EC14DE">
        <w:t>)</w:t>
      </w:r>
    </w:p>
    <w:p w14:paraId="131BCC93" w14:textId="77777777" w:rsidR="0042174D" w:rsidRPr="00EC14DE" w:rsidRDefault="0042174D" w:rsidP="00752CD3">
      <w:pPr>
        <w:pStyle w:val="wordsection1"/>
        <w:autoSpaceDE w:val="0"/>
        <w:autoSpaceDN w:val="0"/>
        <w:jc w:val="both"/>
        <w:rPr>
          <w:sz w:val="22"/>
          <w:szCs w:val="22"/>
        </w:rPr>
      </w:pPr>
      <w:r w:rsidRPr="00EC14DE">
        <w:rPr>
          <w:sz w:val="22"/>
          <w:szCs w:val="22"/>
        </w:rPr>
        <w:t>1. In applicazione dell’accordo tra il Governo e la regione Sardegna in materia di finanza pubblica per gli anni 2022 e successivi, il contributo alla finanza pubblica della regione Sardegna di cui all’articolo 1, comma 868, della legge 27 dicembre 2019, n. 160, è rideterminato in 306,400 milioni di euro annui a decorrere dall’anno 2022, ferme restando le disposizioni di cui all’articolo 1, commi 850, 851 e 852, della legge 30 dicembre 2020, n. 178.</w:t>
      </w:r>
    </w:p>
    <w:p w14:paraId="2C83E81D" w14:textId="77777777" w:rsidR="0042174D" w:rsidRPr="00EC14DE" w:rsidRDefault="0042174D" w:rsidP="00752CD3">
      <w:pPr>
        <w:pStyle w:val="wordsection1"/>
        <w:jc w:val="both"/>
        <w:rPr>
          <w:sz w:val="22"/>
          <w:szCs w:val="22"/>
        </w:rPr>
      </w:pPr>
      <w:r w:rsidRPr="00EC14DE">
        <w:rPr>
          <w:sz w:val="22"/>
          <w:szCs w:val="22"/>
        </w:rPr>
        <w:t>2. A decorrere dall’anno 2022 è attribuito alla regione Sardegna l’importo di 100 milioni di euro annui, pari a una quota delle risorse previste dall’articolo 1, comma 806, della legge 30 dicembre 2020, n. 178, a titolo di concorso alla compensazione degli svantaggi strutturali derivanti dalla condizione di insularità.</w:t>
      </w:r>
    </w:p>
    <w:p w14:paraId="5B6C69AA" w14:textId="77777777" w:rsidR="0042174D" w:rsidRPr="00EC14DE" w:rsidRDefault="0042174D" w:rsidP="00752CD3">
      <w:pPr>
        <w:pStyle w:val="wordsection1"/>
        <w:jc w:val="both"/>
        <w:rPr>
          <w:sz w:val="22"/>
          <w:szCs w:val="22"/>
        </w:rPr>
      </w:pPr>
      <w:r w:rsidRPr="00EC14DE">
        <w:rPr>
          <w:sz w:val="22"/>
          <w:szCs w:val="22"/>
        </w:rPr>
        <w:t>3. In applicazione dell’accordo tra il Governo e la regione Siciliana in materia di finanza pubblica per gli anni 2022 e successivi, il contributo alla finanza pubblica della Regione di cui all’articolo 1, comma 881, della legge 30 dicembre 2018, n. 145, è rideterminato in 800,80 milioni di euro annui a decorrere dall’anno 2022, ferme restando le disposizioni di cui all’articolo 1, commi 850, 851 e 852, della legge 30 dicembre 2020, n. 178.</w:t>
      </w:r>
    </w:p>
    <w:p w14:paraId="691E8362" w14:textId="77777777" w:rsidR="0042174D" w:rsidRPr="00EC14DE" w:rsidRDefault="0042174D" w:rsidP="00752CD3">
      <w:pPr>
        <w:pStyle w:val="wordsection1"/>
        <w:jc w:val="both"/>
        <w:rPr>
          <w:sz w:val="22"/>
          <w:szCs w:val="22"/>
        </w:rPr>
      </w:pPr>
      <w:r w:rsidRPr="00EC14DE">
        <w:rPr>
          <w:sz w:val="22"/>
          <w:szCs w:val="22"/>
        </w:rPr>
        <w:t xml:space="preserve">4. A decorrere dall’anno 2022 è attribuito alla regione Siciliana l’importo di 100 milioni di euro annui, pari a una quota delle risorse previste dall’articolo 1, comma 806, della legge 30 dicembre 2020, n. 178, a titolo di concorso alla compensazione degli svantaggi strutturali derivanti dalla condizione di insularità. </w:t>
      </w:r>
    </w:p>
    <w:p w14:paraId="52A344A1" w14:textId="77777777" w:rsidR="0042174D" w:rsidRPr="00EC14DE" w:rsidRDefault="0042174D" w:rsidP="00752CD3">
      <w:pPr>
        <w:pStyle w:val="wordsection1"/>
        <w:jc w:val="both"/>
        <w:rPr>
          <w:sz w:val="22"/>
          <w:szCs w:val="22"/>
        </w:rPr>
      </w:pPr>
      <w:r w:rsidRPr="00EC14DE">
        <w:rPr>
          <w:sz w:val="22"/>
          <w:szCs w:val="22"/>
        </w:rPr>
        <w:t>5. All’articolo 1, comma 883, della legge 30 dicembre 2018 n. 145, dopo le parole “di strade e scuole” sono aggiunte le seguenti: “, nonché per immobili ed opere di prevenzione idrauliche e idrogeologiche da danni atmosferici”.</w:t>
      </w:r>
    </w:p>
    <w:p w14:paraId="5C8CC242" w14:textId="77777777" w:rsidR="0042174D" w:rsidRPr="00EC14DE" w:rsidRDefault="0042174D" w:rsidP="00752CD3">
      <w:pPr>
        <w:pStyle w:val="wordsection1"/>
        <w:jc w:val="both"/>
        <w:rPr>
          <w:sz w:val="22"/>
          <w:szCs w:val="22"/>
        </w:rPr>
      </w:pPr>
      <w:r w:rsidRPr="00EC14DE">
        <w:rPr>
          <w:sz w:val="22"/>
          <w:szCs w:val="22"/>
        </w:rPr>
        <w:t>6. Le disposizioni recate dai commi 7, 8 e 9 sono approvate ai sensi e per gli effetti dell’articolo 104 del testo unico delle leggi costituzionali concernenti lo statuto speciale per il Trentino-Alto Adige, di cui al decreto del Presidente della Repubblica 31 agosto 1972, n. 670, e successive modificazioni.</w:t>
      </w:r>
    </w:p>
    <w:p w14:paraId="1F053BCA" w14:textId="77777777" w:rsidR="0042174D" w:rsidRPr="00EC14DE" w:rsidRDefault="0042174D" w:rsidP="00752CD3">
      <w:pPr>
        <w:pStyle w:val="wordsection1"/>
        <w:jc w:val="both"/>
        <w:rPr>
          <w:sz w:val="22"/>
          <w:szCs w:val="22"/>
        </w:rPr>
      </w:pPr>
      <w:r w:rsidRPr="00EC14DE">
        <w:rPr>
          <w:sz w:val="22"/>
          <w:szCs w:val="22"/>
        </w:rPr>
        <w:t xml:space="preserve">7. Al testo unico di cui al </w:t>
      </w:r>
      <w:hyperlink r:id="rId23" w:history="1">
        <w:r w:rsidRPr="00EC14DE">
          <w:t>decreto del Presidente della Repubblica 31 agosto 1972, n. 670</w:t>
        </w:r>
      </w:hyperlink>
      <w:r w:rsidRPr="00EC14DE">
        <w:rPr>
          <w:sz w:val="22"/>
          <w:szCs w:val="22"/>
        </w:rPr>
        <w:t>, sono apportate le seguenti modificazioni:</w:t>
      </w:r>
    </w:p>
    <w:p w14:paraId="26D377BF" w14:textId="77777777" w:rsidR="0042174D" w:rsidRPr="00EC14DE" w:rsidRDefault="0042174D" w:rsidP="00752CD3">
      <w:pPr>
        <w:pStyle w:val="wordsection1"/>
        <w:jc w:val="both"/>
        <w:rPr>
          <w:sz w:val="22"/>
          <w:szCs w:val="22"/>
        </w:rPr>
      </w:pPr>
      <w:r w:rsidRPr="00EC14DE">
        <w:rPr>
          <w:sz w:val="22"/>
          <w:szCs w:val="22"/>
        </w:rPr>
        <w:t xml:space="preserve">a) al comma 1, lettera g), dell’articolo 75, dopo le parole: “o di altri enti pubblici” sono inserite le seguenti: “; nelle predette entrate sono comprese anche quelle derivanti dalla raccolta di tutti i giochi con vincita in denaro, sia di natura tributaria, sia di natura non tributaria, in quanto costituite, al netto delle vincite e degli aggi spettanti ai concessionari, da utile erariale”; </w:t>
      </w:r>
    </w:p>
    <w:p w14:paraId="19A5992E" w14:textId="77777777" w:rsidR="0042174D" w:rsidRPr="00EC14DE" w:rsidRDefault="0042174D" w:rsidP="00752CD3">
      <w:pPr>
        <w:pStyle w:val="wordsection1"/>
        <w:jc w:val="both"/>
        <w:rPr>
          <w:sz w:val="22"/>
          <w:szCs w:val="22"/>
        </w:rPr>
      </w:pPr>
      <w:r w:rsidRPr="00EC14DE">
        <w:rPr>
          <w:sz w:val="22"/>
          <w:szCs w:val="22"/>
        </w:rPr>
        <w:t>b) al comma 4-bis dell’articolo 79, sono apportate le seguenti modificazioni:</w:t>
      </w:r>
    </w:p>
    <w:p w14:paraId="00F2356F" w14:textId="77777777" w:rsidR="0042174D" w:rsidRPr="00EC14DE" w:rsidRDefault="0042174D" w:rsidP="00752CD3">
      <w:pPr>
        <w:pStyle w:val="wordsection1"/>
        <w:ind w:left="284"/>
        <w:jc w:val="both"/>
        <w:rPr>
          <w:sz w:val="22"/>
          <w:szCs w:val="22"/>
        </w:rPr>
      </w:pPr>
      <w:r w:rsidRPr="00EC14DE">
        <w:rPr>
          <w:sz w:val="22"/>
          <w:szCs w:val="22"/>
        </w:rPr>
        <w:t>1) le parole “degli anni dal 2018 al 2022” sono sostituite dalle seguenti “degli anni dal 2018 al 2021, fermo restando i ristori e le riduzioni riconosciuti dallo Stato per gli anni 2020 e 2021 correlati alla perdita di gettito connessa all’emergenza epidemiologica da COVID-19,”;</w:t>
      </w:r>
    </w:p>
    <w:p w14:paraId="66F88DE2" w14:textId="77777777" w:rsidR="0042174D" w:rsidRPr="00EC14DE" w:rsidRDefault="0042174D" w:rsidP="00752CD3">
      <w:pPr>
        <w:pStyle w:val="wordsection1"/>
        <w:ind w:left="284"/>
        <w:jc w:val="both"/>
        <w:rPr>
          <w:sz w:val="22"/>
          <w:szCs w:val="22"/>
        </w:rPr>
      </w:pPr>
      <w:r w:rsidRPr="00EC14DE">
        <w:rPr>
          <w:sz w:val="22"/>
          <w:szCs w:val="22"/>
        </w:rPr>
        <w:t>2) dopo il primo periodo è inserito il seguente: “Per ciascuno degli anni dal 2022 il contributo previsto dal periodo precedente è pari a 713,71 milioni di euro annui.”;</w:t>
      </w:r>
    </w:p>
    <w:p w14:paraId="6867F789" w14:textId="77777777" w:rsidR="0042174D" w:rsidRPr="00EC14DE" w:rsidRDefault="0042174D" w:rsidP="00752CD3">
      <w:pPr>
        <w:pStyle w:val="wordsection1"/>
        <w:jc w:val="both"/>
        <w:rPr>
          <w:sz w:val="22"/>
          <w:szCs w:val="22"/>
        </w:rPr>
      </w:pPr>
      <w:r w:rsidRPr="00EC14DE">
        <w:rPr>
          <w:sz w:val="22"/>
          <w:szCs w:val="22"/>
        </w:rPr>
        <w:t>c) nel comma 4-ter dell’articolo 79 sono apportate le seguenti modificazioni:</w:t>
      </w:r>
    </w:p>
    <w:p w14:paraId="77901F4E" w14:textId="77777777" w:rsidR="0042174D" w:rsidRPr="00EC14DE" w:rsidRDefault="0042174D" w:rsidP="00752CD3">
      <w:pPr>
        <w:pStyle w:val="wordsection1"/>
        <w:ind w:left="284"/>
        <w:jc w:val="both"/>
        <w:rPr>
          <w:sz w:val="22"/>
          <w:szCs w:val="22"/>
        </w:rPr>
      </w:pPr>
      <w:r w:rsidRPr="00EC14DE">
        <w:rPr>
          <w:sz w:val="22"/>
          <w:szCs w:val="22"/>
        </w:rPr>
        <w:t>1) le parole “A decorrere dall’anno 2023 il contributo complessivo di 905” sono sostituite dalle seguenti “A decorrere dall’anno 2028 il contributo complessivo di 713,71”;</w:t>
      </w:r>
    </w:p>
    <w:p w14:paraId="6F0DD9AF" w14:textId="77777777" w:rsidR="0042174D" w:rsidRPr="00EC14DE" w:rsidRDefault="0042174D" w:rsidP="00752CD3">
      <w:pPr>
        <w:pStyle w:val="wordsection1"/>
        <w:ind w:left="284"/>
        <w:jc w:val="both"/>
        <w:rPr>
          <w:sz w:val="22"/>
          <w:szCs w:val="22"/>
        </w:rPr>
      </w:pPr>
      <w:r w:rsidRPr="00EC14DE">
        <w:rPr>
          <w:sz w:val="22"/>
          <w:szCs w:val="22"/>
        </w:rPr>
        <w:t>2) le parole “La differenza rispetto al contributo di 905,315 milioni di euro” sono sostituite dalle seguenti: “La differenza rispetto al contributo di 713,71 milioni di euro”.</w:t>
      </w:r>
    </w:p>
    <w:p w14:paraId="01651393" w14:textId="77777777" w:rsidR="0042174D" w:rsidRPr="00EC14DE" w:rsidRDefault="0042174D" w:rsidP="00752CD3">
      <w:pPr>
        <w:pStyle w:val="wordsection1"/>
        <w:jc w:val="both"/>
        <w:rPr>
          <w:sz w:val="22"/>
          <w:szCs w:val="22"/>
        </w:rPr>
      </w:pPr>
      <w:r w:rsidRPr="00EC14DE">
        <w:rPr>
          <w:sz w:val="22"/>
          <w:szCs w:val="22"/>
        </w:rPr>
        <w:t xml:space="preserve">8. Le quote spettanti alle province ai sensi dell’articolo 75, comma 1, lettera g), del decreto del Presidente della Repubblica 31 agosto 1972, n. 670, come da ultimo modificato dal comma 7, relative alle entrate derivante dalla raccolta dei giochi con vincita in denaro, sono calcolate mediante la contabilizzazione, per il gioco in rete fisica, delle giocate raccolte nel territorio di ciascuna provincia e, per il gioco a distanza, delle giocate effettuate mediante conti di gioco intestati a giocatori residenti nel territorio di ciascuna provincia. Fatto salvo il gettito spettante alla regione ai sensi dell’articolo 69, comma 2, lettera c), del decreto del Presidente della Repubblica n. 670 del 1972, i proventi dei giochi con vincita in denaro rientranti nel presente comma sono quelli derivanti da apparecchi da intrattenimento, giochi, lotterie, scommesse, concorsi pronostici, in qualsiasi modo denominati e organizzati. Qualora per alcune tipologie di giochi non sia possibile la quantificazione del gettito spettante alle province, questa è determinata in base al rapporto percentuale tra le giocate sul territorio provinciale e le corrispondenti giocate a livello nazionale. </w:t>
      </w:r>
    </w:p>
    <w:p w14:paraId="1DACB1C4" w14:textId="77777777" w:rsidR="0042174D" w:rsidRPr="00EC14DE" w:rsidRDefault="0042174D" w:rsidP="00752CD3">
      <w:pPr>
        <w:pStyle w:val="wordsection1"/>
        <w:jc w:val="both"/>
        <w:rPr>
          <w:sz w:val="22"/>
          <w:szCs w:val="22"/>
        </w:rPr>
      </w:pPr>
      <w:r w:rsidRPr="00EC14DE">
        <w:rPr>
          <w:sz w:val="22"/>
          <w:szCs w:val="22"/>
        </w:rPr>
        <w:t xml:space="preserve">9. In attuazione dell’accordo in materia di finanza pubblica per gli anni 2022 e successivi tra il Governo, la regione Trentino Alto Adige e le province autonome di Trento e Bolzano, a decorrere dall’anno 2022 è attribuito a ciascuna provincia autonoma l’importo di 20 milioni di euro annui a titolo di restituzione delle riserve di cui all’articolo 1, comma 508, della legge 27 dicembre 2013, n. 147. </w:t>
      </w:r>
    </w:p>
    <w:p w14:paraId="052C6B00" w14:textId="77777777" w:rsidR="0042174D" w:rsidRPr="00EC14DE" w:rsidRDefault="0042174D" w:rsidP="00752CD3">
      <w:pPr>
        <w:pStyle w:val="wordsection1"/>
        <w:spacing w:line="252" w:lineRule="auto"/>
        <w:jc w:val="both"/>
        <w:rPr>
          <w:sz w:val="22"/>
          <w:szCs w:val="22"/>
        </w:rPr>
      </w:pPr>
      <w:r w:rsidRPr="00EC14DE">
        <w:rPr>
          <w:sz w:val="22"/>
          <w:szCs w:val="22"/>
        </w:rPr>
        <w:t>10. L'efficacia delle disposizioni di cui ai commi da 1 a 9 è subordinata all'effettiva sottoscrizione degli Accordi in materia di finanza pubblica per gli anni 2022 e successivi ivi richiamati</w:t>
      </w:r>
      <w:r w:rsidR="000D52CD" w:rsidRPr="00EC14DE">
        <w:rPr>
          <w:sz w:val="22"/>
          <w:szCs w:val="22"/>
        </w:rPr>
        <w:t>.</w:t>
      </w:r>
    </w:p>
    <w:p w14:paraId="14117FDC" w14:textId="77777777" w:rsidR="0042174D" w:rsidRPr="00EC14DE" w:rsidRDefault="0042174D" w:rsidP="00752CD3">
      <w:pPr>
        <w:pStyle w:val="wordsection1"/>
        <w:jc w:val="both"/>
        <w:rPr>
          <w:sz w:val="22"/>
          <w:szCs w:val="22"/>
        </w:rPr>
      </w:pPr>
      <w:r w:rsidRPr="00EC14DE">
        <w:rPr>
          <w:sz w:val="22"/>
          <w:szCs w:val="22"/>
        </w:rPr>
        <w:t>11. Le disposizioni dei commi 12, 13 e 14 sono approvate in attuazione dell'accordo in materia di finanza pubblica per gli anni 2022 e successivi tra il Ministro dell'economia e delle finanze e il Presidente della regione Friuli Venezia Giulia ai sensi dell’articolo 2 del decreto legislativo 25 novembre 2019, n. 154.</w:t>
      </w:r>
    </w:p>
    <w:p w14:paraId="7E62D420" w14:textId="77777777" w:rsidR="0042174D" w:rsidRPr="00EC14DE" w:rsidRDefault="0042174D" w:rsidP="00752CD3">
      <w:pPr>
        <w:pStyle w:val="wordsection1"/>
        <w:autoSpaceDE w:val="0"/>
        <w:autoSpaceDN w:val="0"/>
        <w:jc w:val="both"/>
        <w:rPr>
          <w:sz w:val="22"/>
          <w:szCs w:val="22"/>
        </w:rPr>
      </w:pPr>
      <w:r w:rsidRPr="00EC14DE">
        <w:rPr>
          <w:sz w:val="22"/>
          <w:szCs w:val="22"/>
        </w:rPr>
        <w:t>12. Il contributo alla finanza pubblica da parte del sistema integrato degli enti territoriali della regione Friuli Venezia Giulia è stabilito nell'ammontare di 432,7 milioni di euro per l’anno 2022, 436,7 milioni di euro per ciascuno degli anni dal 2023 al 2025 e 432,7 milioni di euro per l’anno 2026.</w:t>
      </w:r>
    </w:p>
    <w:p w14:paraId="3070D6D6" w14:textId="77777777" w:rsidR="0042174D" w:rsidRPr="00EC14DE" w:rsidRDefault="0042174D" w:rsidP="00752CD3">
      <w:pPr>
        <w:pStyle w:val="wordsection1"/>
        <w:autoSpaceDE w:val="0"/>
        <w:autoSpaceDN w:val="0"/>
        <w:jc w:val="both"/>
        <w:rPr>
          <w:sz w:val="22"/>
          <w:szCs w:val="22"/>
        </w:rPr>
      </w:pPr>
      <w:r w:rsidRPr="00EC14DE">
        <w:rPr>
          <w:sz w:val="22"/>
          <w:szCs w:val="22"/>
        </w:rPr>
        <w:t>13. All’articolo 51 della legge costituzionale 31 gennaio 1963, n. 1 (Statuto speciale della Regione Friuli Venezia Giulia), dopo il sesto comma è inserito il seguente comma: “6-bis. Le assegnazioni di risorse o le misure agevolative disposte dallo Stato in favore della generalità delle province, potenzialmente destinate anche ai territori delle ex province del Friuli Venezia Giulia, sono disposte a favore della Regione.”.</w:t>
      </w:r>
    </w:p>
    <w:p w14:paraId="73EE8DB4" w14:textId="77777777" w:rsidR="0042174D" w:rsidRPr="00EC14DE" w:rsidRDefault="0042174D" w:rsidP="00752CD3">
      <w:pPr>
        <w:pStyle w:val="wordsection1"/>
        <w:jc w:val="both"/>
        <w:rPr>
          <w:sz w:val="22"/>
          <w:szCs w:val="22"/>
        </w:rPr>
      </w:pPr>
      <w:r w:rsidRPr="00EC14DE">
        <w:rPr>
          <w:sz w:val="22"/>
          <w:szCs w:val="22"/>
        </w:rPr>
        <w:t xml:space="preserve">14. All’articolo 1 della legge 30 dicembre 2020, n.178, sono apportate le seguenti modifiche: </w:t>
      </w:r>
    </w:p>
    <w:p w14:paraId="21BF3AEA" w14:textId="77777777" w:rsidR="0042174D" w:rsidRPr="00EC14DE" w:rsidRDefault="0042174D" w:rsidP="00752CD3">
      <w:pPr>
        <w:pStyle w:val="wordsection1"/>
        <w:jc w:val="both"/>
        <w:rPr>
          <w:sz w:val="22"/>
          <w:szCs w:val="22"/>
        </w:rPr>
      </w:pPr>
      <w:r w:rsidRPr="00EC14DE">
        <w:rPr>
          <w:sz w:val="22"/>
          <w:szCs w:val="22"/>
        </w:rPr>
        <w:t>a) al comma 850, le parole “200 milioni” sono sostituite dalle seguenti “196 milioni”;</w:t>
      </w:r>
    </w:p>
    <w:p w14:paraId="4043D4B0" w14:textId="77777777" w:rsidR="0042174D" w:rsidRPr="00EC14DE" w:rsidRDefault="0042174D" w:rsidP="00752CD3">
      <w:pPr>
        <w:pStyle w:val="wordsection1"/>
        <w:jc w:val="both"/>
        <w:rPr>
          <w:sz w:val="22"/>
          <w:szCs w:val="22"/>
        </w:rPr>
      </w:pPr>
      <w:r w:rsidRPr="00EC14DE">
        <w:rPr>
          <w:sz w:val="22"/>
          <w:szCs w:val="22"/>
        </w:rPr>
        <w:t>b) al comma 852, le parole “200 milioni” sono sostituite dalle seguenti “196 milioni”; dopo le parole “670</w:t>
      </w:r>
      <w:r w:rsidR="00BE069E" w:rsidRPr="00EC14DE">
        <w:rPr>
          <w:sz w:val="22"/>
          <w:szCs w:val="22"/>
        </w:rPr>
        <w:t>.</w:t>
      </w:r>
      <w:r w:rsidRPr="00EC14DE">
        <w:rPr>
          <w:sz w:val="22"/>
          <w:szCs w:val="22"/>
        </w:rPr>
        <w:t>” è aggiunto il seguente periodo “Per la regione Friuli Venezia Giulia e i relativi enti locali, il concorso alla finanza pubblica è determinato ai sensi del decreto legislativo 25 novembre 2019, n.154.”</w:t>
      </w:r>
    </w:p>
    <w:p w14:paraId="054327D4" w14:textId="77777777" w:rsidR="0042174D" w:rsidRPr="00EC14DE" w:rsidRDefault="0042174D" w:rsidP="00752CD3">
      <w:pPr>
        <w:pStyle w:val="wordsection1"/>
        <w:jc w:val="both"/>
        <w:rPr>
          <w:sz w:val="22"/>
          <w:szCs w:val="22"/>
        </w:rPr>
      </w:pPr>
      <w:r w:rsidRPr="00EC14DE">
        <w:rPr>
          <w:sz w:val="22"/>
          <w:szCs w:val="22"/>
        </w:rPr>
        <w:t>15. L’autorizzazione di spesa di cui all’articolo 1, comma 806, della legge 30 dicembre 2020, n. 178 è ridotta di 100 milioni di euro</w:t>
      </w:r>
      <w:r w:rsidR="002D1B42" w:rsidRPr="00EC14DE">
        <w:rPr>
          <w:sz w:val="22"/>
          <w:szCs w:val="22"/>
        </w:rPr>
        <w:t xml:space="preserve"> annui</w:t>
      </w:r>
      <w:r w:rsidRPr="00EC14DE">
        <w:rPr>
          <w:sz w:val="22"/>
          <w:szCs w:val="22"/>
        </w:rPr>
        <w:t xml:space="preserve"> a decorrere dall’anno 2022. </w:t>
      </w:r>
    </w:p>
    <w:p w14:paraId="7C5B92DB" w14:textId="77777777" w:rsidR="0042174D" w:rsidRPr="00EC14DE" w:rsidRDefault="0042174D" w:rsidP="00752CD3">
      <w:pPr>
        <w:pStyle w:val="wordsection1"/>
        <w:jc w:val="both"/>
        <w:rPr>
          <w:sz w:val="22"/>
          <w:szCs w:val="22"/>
        </w:rPr>
      </w:pPr>
      <w:r w:rsidRPr="00EC14DE">
        <w:rPr>
          <w:sz w:val="22"/>
          <w:szCs w:val="22"/>
        </w:rPr>
        <w:t xml:space="preserve">16. Il Fondo di cui all’articolo 1, comma 748, della legge 30 dicembre 2018, n. 145, ai sensi dell’articolo 1, comma 875-septies, della legge 30 dicembre 2018, n. 145, è ridotto di 86,1 milioni di euro annui a decorrere dall’anno 2022. </w:t>
      </w:r>
    </w:p>
    <w:p w14:paraId="601DC727" w14:textId="77777777" w:rsidR="0042174D" w:rsidRPr="00EC14DE" w:rsidRDefault="0042174D" w:rsidP="00752CD3">
      <w:pPr>
        <w:pStyle w:val="wordsection1"/>
        <w:jc w:val="both"/>
        <w:rPr>
          <w:sz w:val="22"/>
          <w:szCs w:val="22"/>
        </w:rPr>
      </w:pPr>
      <w:r w:rsidRPr="00EC14DE">
        <w:rPr>
          <w:sz w:val="22"/>
          <w:szCs w:val="22"/>
        </w:rPr>
        <w:t>17. In attuazione dell’accordo tra il Governo e la regione Valle d'Aosta in materia di finanza pubblica per gli anni 2022 e successivi, a decorrere dall’anno 2022 il contributo dovuto dalla regione quale concorso al pagamento degli oneri del debito pubblico di cui all’articolo 1, comma 877, della legge 30 dicembre 2018, n. 145, è rideterminato in 82,246 milioni di euro annui</w:t>
      </w:r>
      <w:r w:rsidR="00BE069E" w:rsidRPr="00EC14DE">
        <w:rPr>
          <w:sz w:val="22"/>
          <w:szCs w:val="22"/>
        </w:rPr>
        <w:t>,</w:t>
      </w:r>
      <w:r w:rsidRPr="00EC14DE">
        <w:rPr>
          <w:sz w:val="22"/>
          <w:szCs w:val="22"/>
        </w:rPr>
        <w:t xml:space="preserve"> ferme restando le disposizioni di cui all’articolo 1, commi 850, 851 e 852, della legge 30 dicembre 2020, n. 178.</w:t>
      </w:r>
    </w:p>
    <w:p w14:paraId="716E1D13" w14:textId="77777777" w:rsidR="00CB156C" w:rsidRPr="00EC14DE" w:rsidRDefault="00E556D3" w:rsidP="00752CD3">
      <w:r w:rsidRPr="00EC14DE">
        <w:rPr>
          <w:rFonts w:eastAsia="Calibri" w:cs="Times New Roman"/>
        </w:rPr>
        <w:t>18</w:t>
      </w:r>
      <w:r w:rsidR="00CB156C" w:rsidRPr="00EC14DE">
        <w:rPr>
          <w:rFonts w:eastAsia="Calibri" w:cs="Times New Roman"/>
        </w:rPr>
        <w:t>. Le disposizioni di cui all’articolo 1, comma 11</w:t>
      </w:r>
      <w:r w:rsidR="00BE069E" w:rsidRPr="00EC14DE">
        <w:rPr>
          <w:rFonts w:eastAsia="Calibri" w:cs="Times New Roman"/>
        </w:rPr>
        <w:t>,</w:t>
      </w:r>
      <w:r w:rsidR="00CB156C" w:rsidRPr="00EC14DE">
        <w:rPr>
          <w:rFonts w:eastAsia="Calibri" w:cs="Times New Roman"/>
        </w:rPr>
        <w:t xml:space="preserve"> e articolo 2, comma 10, del decreto-legge 19 maggio 2020, n.34, convertito, con modificazioni, dalla legge 17 luglio 2020, n. 77, si interpretano nel senso che le autonomie speciali accedono al finanziamento con oneri a carico dello Stato, in deroga alle disposizioni legislative vigenti in materia di compartecipazione al finanziamento della spesa sanitaria corrente, limitatamente agli anni 2020 e 2021. </w:t>
      </w:r>
    </w:p>
    <w:p w14:paraId="285E500C" w14:textId="77777777" w:rsidR="00622845" w:rsidRPr="00EC14DE" w:rsidRDefault="00622845" w:rsidP="00622845">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(Finanziamento e sviluppo delle funzioni fondamentali delle province e delle città metropolitane) </w:t>
      </w:r>
    </w:p>
    <w:p w14:paraId="4531B6CC" w14:textId="77777777" w:rsidR="00622845" w:rsidRPr="00EC14DE" w:rsidRDefault="00622845" w:rsidP="00622845">
      <w:pPr>
        <w:widowControl w:val="0"/>
      </w:pPr>
      <w:r w:rsidRPr="00EC14DE">
        <w:t xml:space="preserve">1. Per il finanziamento e lo sviluppo delle funzioni fondamentali delle province e delle città metropolitane, sulla base dei fabbisogni standard e delle capacità fiscali approvati dalla Commissione tecnica per i fabbisogni standard, è attribuito un contributo di 80 milioni di euro per l’anno 2022, di 100 milioni di euro per l’anno 2023, di 130 milioni di euro per l’anno 2024, di 150 milioni di euro per l’anno 2025, di 200 milioni di euro per l’anno 2026, di 250 milioni di euro per l’anno 2027, di 300 milioni di euro per l’anno 2028, di 400 milioni di euro per l’anno 2029, di 500 milioni di euro per l’anno 2030 e di 600 milioni di euro a decorrere dall’anno 2031. </w:t>
      </w:r>
    </w:p>
    <w:p w14:paraId="1F3E932B" w14:textId="77777777" w:rsidR="007D6EB1" w:rsidRPr="00EC14DE" w:rsidRDefault="007D6EB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6D3991" w:rsidRPr="00EC14DE">
        <w:t>Incremento fondo di solidarie</w:t>
      </w:r>
      <w:r w:rsidR="007E61FB" w:rsidRPr="00EC14DE">
        <w:t>tà comunale per funzioni sociali</w:t>
      </w:r>
      <w:r w:rsidRPr="00EC14DE">
        <w:t xml:space="preserve">) </w:t>
      </w:r>
    </w:p>
    <w:p w14:paraId="3EA0910B" w14:textId="77777777" w:rsidR="00C71616" w:rsidRPr="00EC14DE" w:rsidRDefault="00C71616" w:rsidP="007C594F">
      <w:pPr>
        <w:pStyle w:val="wordsection1"/>
        <w:widowControl w:val="0"/>
        <w:jc w:val="both"/>
        <w:rPr>
          <w:rFonts w:ascii="Calibri" w:hAnsi="Calibri" w:cs="Calibri"/>
          <w:sz w:val="22"/>
          <w:szCs w:val="22"/>
        </w:rPr>
      </w:pPr>
      <w:r w:rsidRPr="00EC14DE">
        <w:rPr>
          <w:sz w:val="22"/>
          <w:szCs w:val="22"/>
        </w:rPr>
        <w:t>1. All’articolo 1 della legge 11 dicembre 2016, n. 232, sono apportate le seguenti modifiche:</w:t>
      </w:r>
    </w:p>
    <w:p w14:paraId="30E92438" w14:textId="77777777" w:rsidR="00C71616" w:rsidRPr="00EC14DE" w:rsidRDefault="0087345D" w:rsidP="007C594F">
      <w:pPr>
        <w:pStyle w:val="wordsection1"/>
        <w:widowControl w:val="0"/>
        <w:jc w:val="both"/>
        <w:rPr>
          <w:sz w:val="22"/>
          <w:szCs w:val="22"/>
        </w:rPr>
      </w:pPr>
      <w:r w:rsidRPr="00EC14DE">
        <w:rPr>
          <w:sz w:val="22"/>
          <w:szCs w:val="22"/>
        </w:rPr>
        <w:t xml:space="preserve">a) </w:t>
      </w:r>
      <w:r w:rsidR="00C71616" w:rsidRPr="00EC14DE">
        <w:rPr>
          <w:sz w:val="22"/>
          <w:szCs w:val="22"/>
        </w:rPr>
        <w:t xml:space="preserve">alla lettera d-quinquies) del comma 449 dopo il secondo periodo è aggiunto il seguente: “Per le medesime finalità di cui al primo periodo, il Fondo di solidarietà comunale è destinato, per un importo  di 44 milioni di euro per l’anno 2022, di 52 milioni di euro per l’anno 2023, di 60 milioni di euro per l’anno 2024, di 68 milioni di euro per l’anno 2025, di 77 milioni di euro </w:t>
      </w:r>
      <w:r w:rsidR="004348B3" w:rsidRPr="00EC14DE">
        <w:rPr>
          <w:sz w:val="22"/>
          <w:szCs w:val="22"/>
        </w:rPr>
        <w:t xml:space="preserve">per l’anno 2026, di 87 milioni di euro per l’anno 2027, di 97 milioni di euro per l’anno 2028, di 107 milioni di euro per l’anno 2029, di 113 milioni di euro annui a decorrere dall’anno 2030 </w:t>
      </w:r>
      <w:r w:rsidR="00C71616" w:rsidRPr="00EC14DE">
        <w:rPr>
          <w:sz w:val="22"/>
          <w:szCs w:val="22"/>
        </w:rPr>
        <w:t xml:space="preserve">in favore dei comuni delle regioni Siciliana e Sardegna, ripartendo il contributo, entro il 31 marzo di ciascun anno di riferimento, con decreto del Ministro dell’interno, di concerto con il Ministro dell’economia e delle finanze, tenendo conto dei fabbisogni standard, sulla  base  di un'istruttoria tecnica  condotta  dalla  Commissione  tecnica  per  i fabbisogni standard, allo scopo integrata con i rappresentanti delle regioni Siciliana e Sardegna, con il supporto di  esperti  del  settore,  senza oneri per la finanza pubblica, e previa intesa in sede di  Conferenza Stato-città ed autonomie locali. </w:t>
      </w:r>
      <w:r w:rsidR="00395998" w:rsidRPr="00EC14DE">
        <w:rPr>
          <w:sz w:val="22"/>
          <w:szCs w:val="22"/>
        </w:rPr>
        <w:t xml:space="preserve">Agli esperti di cui al precedente periodo non spettano gettoni di presenza, compensi, rimborsi di spese o altri emolumenti comunque denominati.  </w:t>
      </w:r>
      <w:r w:rsidR="00C71616" w:rsidRPr="00EC14DE">
        <w:rPr>
          <w:sz w:val="22"/>
          <w:szCs w:val="22"/>
        </w:rPr>
        <w:t>Con il medesimo decreto sono disciplinati gli obiettivi di servizio e le modalità di monitoraggio ed eventuale recupero dei contributi assegnati. Per l’anno 2022, nelle more dell’approvazione dei fabbisogni standard per la funzione "Servizi sociali" dei comuni della regione Sardegna da parte della Commissione tecnica per i fabbisogni standard, allo scopo integrata con i rappresentanti della regione, ai fini del riparto, per i soli comuni della regione Sardegna, non si tiene conto dei fabbisogni standard</w:t>
      </w:r>
      <w:r w:rsidR="00A9129D" w:rsidRPr="00EC14DE">
        <w:rPr>
          <w:sz w:val="22"/>
          <w:szCs w:val="22"/>
        </w:rPr>
        <w:t>”</w:t>
      </w:r>
      <w:r w:rsidR="00C71616" w:rsidRPr="00EC14DE">
        <w:rPr>
          <w:sz w:val="22"/>
          <w:szCs w:val="22"/>
        </w:rPr>
        <w:t>;</w:t>
      </w:r>
    </w:p>
    <w:p w14:paraId="7B1F4E49" w14:textId="77777777" w:rsidR="00C71616" w:rsidRPr="00EC14DE" w:rsidRDefault="0087345D" w:rsidP="007C594F">
      <w:pPr>
        <w:pStyle w:val="wordsection1"/>
        <w:widowControl w:val="0"/>
        <w:jc w:val="both"/>
        <w:rPr>
          <w:sz w:val="22"/>
          <w:szCs w:val="22"/>
        </w:rPr>
      </w:pPr>
      <w:r w:rsidRPr="00EC14DE">
        <w:rPr>
          <w:sz w:val="22"/>
          <w:szCs w:val="22"/>
        </w:rPr>
        <w:t xml:space="preserve">b) </w:t>
      </w:r>
      <w:r w:rsidR="00C71616" w:rsidRPr="00EC14DE">
        <w:rPr>
          <w:sz w:val="22"/>
          <w:szCs w:val="22"/>
        </w:rPr>
        <w:t>alla lettera d-quinquies) del comma 449, ultimo periodo, le parole: “terzo periodo”, ovunque ricorrano, sono sostituite dalle parole: “quinto periodo”</w:t>
      </w:r>
      <w:r w:rsidR="00D74D07" w:rsidRPr="00EC14DE">
        <w:rPr>
          <w:sz w:val="22"/>
          <w:szCs w:val="22"/>
        </w:rPr>
        <w:t>.</w:t>
      </w:r>
      <w:r w:rsidR="00C71616" w:rsidRPr="00EC14DE">
        <w:rPr>
          <w:sz w:val="22"/>
          <w:szCs w:val="22"/>
        </w:rPr>
        <w:t xml:space="preserve"> </w:t>
      </w:r>
    </w:p>
    <w:p w14:paraId="7B0B2D78" w14:textId="77777777" w:rsidR="00D42012" w:rsidRPr="00EC14DE" w:rsidRDefault="00D42012" w:rsidP="00D42012">
      <w:pPr>
        <w:pStyle w:val="Titolo3"/>
        <w:rPr>
          <w:szCs w:val="22"/>
        </w:rPr>
      </w:pPr>
      <w:r w:rsidRPr="00EC14DE">
        <w:t xml:space="preserve">ART. </w:t>
      </w:r>
      <w:r w:rsidRPr="00EC14DE">
        <w:fldChar w:fldCharType="begin"/>
      </w:r>
      <w:r w:rsidRPr="00EC14DE">
        <w:instrText xml:space="preserve"> AUTONUM  \* Arabic </w:instrText>
      </w:r>
      <w:r w:rsidRPr="00EC14DE">
        <w:fldChar w:fldCharType="end"/>
      </w:r>
      <w:r w:rsidRPr="00EC14DE">
        <w:br/>
        <w:t>(Incremento dotazione fondo di solidarietà comunale per potenziamento sociale, asili nido e trasporto disabili)</w:t>
      </w:r>
    </w:p>
    <w:p w14:paraId="76DC449C" w14:textId="77777777" w:rsidR="009E1C78" w:rsidRPr="00EC14DE" w:rsidRDefault="00D42012" w:rsidP="009E1C78">
      <w:pPr>
        <w:pStyle w:val="wordsection1"/>
        <w:jc w:val="both"/>
      </w:pPr>
      <w:r w:rsidRPr="00EC14DE">
        <w:rPr>
          <w:sz w:val="22"/>
          <w:szCs w:val="22"/>
        </w:rPr>
        <w:t xml:space="preserve">1. </w:t>
      </w:r>
      <w:r w:rsidR="009E1C78" w:rsidRPr="00EC14DE">
        <w:rPr>
          <w:sz w:val="22"/>
          <w:szCs w:val="22"/>
        </w:rPr>
        <w:t xml:space="preserve">In considerazione di quanto disposto dagli </w:t>
      </w:r>
      <w:r w:rsidR="009E1C78" w:rsidRPr="00EC14DE">
        <w:rPr>
          <w:b/>
          <w:sz w:val="22"/>
          <w:szCs w:val="22"/>
        </w:rPr>
        <w:t xml:space="preserve">articoli </w:t>
      </w:r>
      <w:r w:rsidR="00B75BED" w:rsidRPr="00EC14DE">
        <w:rPr>
          <w:b/>
          <w:sz w:val="22"/>
          <w:szCs w:val="22"/>
        </w:rPr>
        <w:t>4</w:t>
      </w:r>
      <w:r w:rsidR="00133C4E" w:rsidRPr="00EC14DE">
        <w:rPr>
          <w:b/>
          <w:sz w:val="22"/>
          <w:szCs w:val="22"/>
        </w:rPr>
        <w:t>4</w:t>
      </w:r>
      <w:r w:rsidR="00B75BED" w:rsidRPr="00EC14DE">
        <w:rPr>
          <w:b/>
          <w:sz w:val="22"/>
          <w:szCs w:val="22"/>
        </w:rPr>
        <w:t xml:space="preserve">, </w:t>
      </w:r>
      <w:r w:rsidR="00B75BED" w:rsidRPr="00443FE3">
        <w:rPr>
          <w:b/>
          <w:sz w:val="22"/>
          <w:szCs w:val="22"/>
        </w:rPr>
        <w:t>4</w:t>
      </w:r>
      <w:r w:rsidR="00133C4E" w:rsidRPr="00443FE3">
        <w:rPr>
          <w:b/>
          <w:sz w:val="22"/>
          <w:szCs w:val="22"/>
        </w:rPr>
        <w:t>5</w:t>
      </w:r>
      <w:r w:rsidR="00B75BED" w:rsidRPr="00443FE3">
        <w:rPr>
          <w:b/>
          <w:sz w:val="22"/>
          <w:szCs w:val="22"/>
        </w:rPr>
        <w:t xml:space="preserve"> e 17</w:t>
      </w:r>
      <w:r w:rsidR="008F587C" w:rsidRPr="00443FE3">
        <w:rPr>
          <w:b/>
          <w:sz w:val="22"/>
          <w:szCs w:val="22"/>
        </w:rPr>
        <w:t>1</w:t>
      </w:r>
      <w:r w:rsidR="009E1C78" w:rsidRPr="00443FE3">
        <w:rPr>
          <w:sz w:val="22"/>
          <w:szCs w:val="22"/>
        </w:rPr>
        <w:t xml:space="preserve"> della presente legge all’articolo 1 della legge 11 dicembre 2016, n. 232, al comma 448 le parole: “in euro 6.</w:t>
      </w:r>
      <w:r w:rsidR="009E1C78" w:rsidRPr="00EC14DE">
        <w:rPr>
          <w:sz w:val="22"/>
          <w:szCs w:val="22"/>
        </w:rPr>
        <w:t xml:space="preserve">855.513.365 per l'anno 2022, in euro 6.980.513.365 per l'anno 2023, in euro 7.306.513.365 per l'anno 2024, in euro 7.401.513.365 per l'anno 2025, in euro 7.503.513.365 per l'anno 2026, in euro 7.562.513.365 per l'anno 2027, in euro 7.620.513.365 per l'anno 2028, in euro 7.679.513.365 per l'anno 2029 e in euro 7.711.513.365 annui a decorrere dall'anno 2030” sono sostituite dalle parole: “in </w:t>
      </w:r>
      <w:r w:rsidR="00DF269C" w:rsidRPr="00EC14DE">
        <w:rPr>
          <w:sz w:val="22"/>
          <w:szCs w:val="22"/>
        </w:rPr>
        <w:t>euro 6.</w:t>
      </w:r>
      <w:r w:rsidR="00DF269C" w:rsidRPr="00EC14DE">
        <w:rPr>
          <w:bCs/>
          <w:sz w:val="22"/>
          <w:szCs w:val="22"/>
        </w:rPr>
        <w:t>949</w:t>
      </w:r>
      <w:r w:rsidR="00DF269C" w:rsidRPr="00EC14DE">
        <w:rPr>
          <w:sz w:val="22"/>
          <w:szCs w:val="22"/>
        </w:rPr>
        <w:t>.513.365 per l'anno 2022, in euro 7.</w:t>
      </w:r>
      <w:r w:rsidR="00DF269C" w:rsidRPr="00EC14DE">
        <w:rPr>
          <w:bCs/>
          <w:sz w:val="22"/>
          <w:szCs w:val="22"/>
        </w:rPr>
        <w:t>107</w:t>
      </w:r>
      <w:r w:rsidR="00DF269C" w:rsidRPr="00EC14DE">
        <w:rPr>
          <w:sz w:val="22"/>
          <w:szCs w:val="22"/>
        </w:rPr>
        <w:t>.513.365 per l'anno 2023, in euro 7.</w:t>
      </w:r>
      <w:r w:rsidR="00DF269C" w:rsidRPr="00EC14DE">
        <w:rPr>
          <w:bCs/>
          <w:sz w:val="22"/>
          <w:szCs w:val="22"/>
        </w:rPr>
        <w:t>476</w:t>
      </w:r>
      <w:r w:rsidR="00DF269C" w:rsidRPr="00EC14DE">
        <w:rPr>
          <w:sz w:val="22"/>
          <w:szCs w:val="22"/>
        </w:rPr>
        <w:t>.513.365 per l'anno 2024</w:t>
      </w:r>
      <w:r w:rsidR="009E1C78" w:rsidRPr="00EC14DE">
        <w:rPr>
          <w:sz w:val="22"/>
          <w:szCs w:val="22"/>
        </w:rPr>
        <w:t>, in euro 7.619.513.365 per l'anno 2025, in euro 7.830.513.365 per l'anno 2026, in euro 8.569.513.365 per l'anno 2027, in euro 8.637.513.365 per l'anno 2028, in euro 8.706.513.365 per l'anno 2029 e in euro 8.744.513.365 annui a decorrere dall'anno 2030”.</w:t>
      </w:r>
    </w:p>
    <w:p w14:paraId="7B4103CA" w14:textId="77777777" w:rsidR="007D6EB1" w:rsidRPr="00EC14DE" w:rsidRDefault="007D6EB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B11667" w:rsidRPr="00EC14DE">
        <w:t xml:space="preserve">Rifinanziamento </w:t>
      </w:r>
      <w:r w:rsidR="00700D53" w:rsidRPr="00EC14DE">
        <w:t>del fondo cui all’art 53 del d</w:t>
      </w:r>
      <w:r w:rsidR="00C96357" w:rsidRPr="00EC14DE">
        <w:t xml:space="preserve">ecreto-legge 14 agosto 2020, n. </w:t>
      </w:r>
      <w:r w:rsidR="00700D53" w:rsidRPr="00EC14DE">
        <w:t>104</w:t>
      </w:r>
      <w:r w:rsidR="00C96357" w:rsidRPr="00EC14DE">
        <w:t xml:space="preserve"> </w:t>
      </w:r>
      <w:r w:rsidR="00B11667" w:rsidRPr="00EC14DE">
        <w:t>ed e</w:t>
      </w:r>
      <w:r w:rsidRPr="00EC14DE">
        <w:t>stensione a</w:t>
      </w:r>
      <w:r w:rsidR="00971957" w:rsidRPr="00EC14DE">
        <w:t>i comuni delle regioni</w:t>
      </w:r>
      <w:r w:rsidRPr="00EC14DE">
        <w:t xml:space="preserve"> Sicilia e Sardegna) </w:t>
      </w:r>
    </w:p>
    <w:p w14:paraId="083B449D" w14:textId="77777777" w:rsidR="006E1896" w:rsidRPr="00EC14DE" w:rsidRDefault="006E1896" w:rsidP="007C594F">
      <w:pPr>
        <w:widowControl w:val="0"/>
        <w:contextualSpacing/>
      </w:pPr>
      <w:r w:rsidRPr="00EC14DE">
        <w:t>1. In attuazione della sentenza della Corte costituzionale n. 115/2020, è istituito, presso il Ministero dell’interno,</w:t>
      </w:r>
      <w:r w:rsidR="00333313" w:rsidRPr="00EC14DE">
        <w:t xml:space="preserve"> un fondo con una dotazione di 3</w:t>
      </w:r>
      <w:r w:rsidRPr="00EC14DE">
        <w:t>00 milioni di euro per l’anno 2022,  di cui 50 milioni di euro in favore dei soli comuni delle regioni Siciliana e Sardegna,  e di 150  milioni di euro per l’anno 2023 in favore dei comuni delle regioni a statuto ordinario e delle regioni Siciliana e Sardegna che sono in procedura di riequilibrio finanziario pluriennale e che</w:t>
      </w:r>
      <w:r w:rsidRPr="00EC14DE">
        <w:rPr>
          <w:b/>
          <w:bCs/>
        </w:rPr>
        <w:t> </w:t>
      </w:r>
      <w:r w:rsidRPr="00EC14DE">
        <w:t xml:space="preserve">alla data del 31 dicembre 2021 hanno trasmesso il piano di riequilibrio finanziario pluriennale alla competente sezione regionale di controllo della Corte dei conti e alla </w:t>
      </w:r>
      <w:r w:rsidR="000C0F18" w:rsidRPr="00EC14DE">
        <w:t xml:space="preserve">Commissione per la stabilità finanziaria degli enti locali </w:t>
      </w:r>
      <w:r w:rsidRPr="00EC14DE">
        <w:t>presso il Ministero dell’interno, ai sensi dell’articolo 243-quater, comma 1, del decreto legislativo 18 agosto 2000, n. 267. Il fondo di cui al primo periodo è ripartito entro il 31 marzo 2022 con decreto del Ministero dell’interno, di concerto con il Ministero dell’economia e delle finanze, d’intesa con la Conferenza Stato città ed autonomie locali, tra i comuni di cui al primo periodo:</w:t>
      </w:r>
    </w:p>
    <w:p w14:paraId="64C3E19F" w14:textId="77777777" w:rsidR="006E1896" w:rsidRPr="00EC14DE" w:rsidRDefault="006E1896" w:rsidP="007C594F">
      <w:pPr>
        <w:widowControl w:val="0"/>
        <w:ind w:left="640" w:hanging="283"/>
      </w:pPr>
      <w:r w:rsidRPr="00EC14DE">
        <w:t>a) in proporzione al disavanzo di amministrazione al 31 dicembre 2020 risultante dal rendiconto 2020 inviato alla banca dati delle amministrazioni pubbliche (BDAP) anche sulla base dei dati di pre-consuntivo, al netto dei contributi assegnati per gli esercizi 2021 e 2022 ai sensi dell’articolo 53 del decreto-legge 14 agosto 2020, n. 104, convertito con modificazioni dalla legge 13 ottobre 2020, n. 126, e del comma 775 dell’articolo 1 della legge 30 dicembre 2020, n. 178 e dell’articolo 52 del decreto-legge 5 maggio 2021, n. 73, convertito con modificazioni dalla L. 23 luglio 2021, n. 106;</w:t>
      </w:r>
    </w:p>
    <w:p w14:paraId="49B37F81" w14:textId="77777777" w:rsidR="006E1896" w:rsidRPr="00EC14DE" w:rsidRDefault="006E1896" w:rsidP="007C594F">
      <w:pPr>
        <w:widowControl w:val="0"/>
        <w:ind w:left="640" w:hanging="283"/>
      </w:pPr>
      <w:r w:rsidRPr="00EC14DE">
        <w:t>b) con l'ultimo indice di vulnerabilità sociale e materiale (IVSM), calcolato dall'ISTAT con riferimento all’ultimo elenco dei comuni disponibile, superiore al valore medio nazionale;</w:t>
      </w:r>
    </w:p>
    <w:p w14:paraId="062F638A" w14:textId="77777777" w:rsidR="006E1896" w:rsidRPr="00EC14DE" w:rsidRDefault="006E1896" w:rsidP="007C594F">
      <w:pPr>
        <w:widowControl w:val="0"/>
      </w:pPr>
      <w:r w:rsidRPr="00EC14DE">
        <w:t>c) con capacità fiscale pro capite inferiore a 495 euro, adottata ai sensi dell'articolo 43, comma 5-quater, primo periodo, del decreto-legge 12 settembre 2014, n. 133, convertito, con modificazioni, dalla legge 11 novembre 2014, n. 164, per i comuni delle regioni a statuto ordinario, ovvero determinata dal Dipartimento delle finanze per i comuni delle regioni Siciliana e Sardegna, sulla base di un metodologia approvata dalla Commissione tecnica dei fabbisogni standard, istituita ai sensi dell'articolo 1, comma 29, della legge 28 dicembre 2015, n. 208.</w:t>
      </w:r>
    </w:p>
    <w:p w14:paraId="630A5948" w14:textId="77777777" w:rsidR="006E1896" w:rsidRPr="00EC14DE" w:rsidRDefault="006E1896" w:rsidP="007C594F">
      <w:pPr>
        <w:widowControl w:val="0"/>
      </w:pPr>
      <w:r w:rsidRPr="00EC14DE">
        <w:t>2. Il contributo complessivamente riconosciuto a ciascun ente in attuazione del comma 1 per gli anni 2022 e 2023 non può essere superiore al disavanzo di amministrazione al 31 dicembre 2020 nettizzato dei contributi richiamati al comma 1, lettera a), ed è prioritariamente destinato alla riduzione, anche anticipata, del disavanzo di amministrazione.  A seguito dell'utilizzo dei predetti contributi, l’eventuale maggiore ripiano del disavanzo di amministrazione applicato al primo esercizio del bilancio di previsione rispetto a quanto previsto dai piani di rientro può non essere applicato al bilancio degli esercizi successivi</w:t>
      </w:r>
      <w:r w:rsidR="000C0F18" w:rsidRPr="00EC14DE">
        <w:t>.</w:t>
      </w:r>
    </w:p>
    <w:p w14:paraId="1F10092F" w14:textId="77777777" w:rsidR="00A869C4" w:rsidRPr="00EC14DE" w:rsidRDefault="007D6EB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(Inc</w:t>
      </w:r>
      <w:r w:rsidR="00A869C4" w:rsidRPr="00EC14DE">
        <w:t>remento risorse comuni fino a 5.</w:t>
      </w:r>
      <w:r w:rsidRPr="00EC14DE">
        <w:t xml:space="preserve">000 abitanti in difficoltà economiche) </w:t>
      </w:r>
    </w:p>
    <w:p w14:paraId="453D0460" w14:textId="77777777" w:rsidR="00333313" w:rsidRPr="00EC14DE" w:rsidRDefault="00333313" w:rsidP="007C594F">
      <w:pPr>
        <w:pStyle w:val="wordsection1"/>
        <w:widowControl w:val="0"/>
        <w:jc w:val="both"/>
        <w:rPr>
          <w:sz w:val="22"/>
          <w:szCs w:val="22"/>
        </w:rPr>
      </w:pPr>
      <w:r w:rsidRPr="00EC14DE">
        <w:rPr>
          <w:sz w:val="22"/>
          <w:szCs w:val="22"/>
        </w:rPr>
        <w:t>1. Nello stato di previsione del Ministero dell’interno è istituito un fondo con una dotazione di 50 milioni di euro per l’anno 2022 in favore dei comuni delle regioni a statuto ordinario e delle regioni Siciliana e Sardegna con popolazione inferiore a 5.000 abitanti caratterizzati da:</w:t>
      </w:r>
    </w:p>
    <w:p w14:paraId="50DDA879" w14:textId="77777777" w:rsidR="00333313" w:rsidRPr="00EC14DE" w:rsidRDefault="00333313" w:rsidP="000831E3">
      <w:pPr>
        <w:pStyle w:val="wordsection1"/>
        <w:widowControl w:val="0"/>
        <w:numPr>
          <w:ilvl w:val="0"/>
          <w:numId w:val="33"/>
        </w:numPr>
        <w:autoSpaceDE w:val="0"/>
        <w:autoSpaceDN w:val="0"/>
        <w:jc w:val="both"/>
        <w:rPr>
          <w:sz w:val="22"/>
          <w:szCs w:val="22"/>
        </w:rPr>
      </w:pPr>
      <w:r w:rsidRPr="00EC14DE">
        <w:rPr>
          <w:sz w:val="22"/>
          <w:szCs w:val="22"/>
        </w:rPr>
        <w:t>popolazione al 31 dicembre 2019 post censimento, ridottasi di oltre il 5% rispetto al 2011;</w:t>
      </w:r>
    </w:p>
    <w:p w14:paraId="6294FC60" w14:textId="77777777" w:rsidR="00333313" w:rsidRPr="00EC14DE" w:rsidRDefault="00333313" w:rsidP="000831E3">
      <w:pPr>
        <w:pStyle w:val="wordsection1"/>
        <w:widowControl w:val="0"/>
        <w:numPr>
          <w:ilvl w:val="0"/>
          <w:numId w:val="33"/>
        </w:numPr>
        <w:autoSpaceDE w:val="0"/>
        <w:autoSpaceDN w:val="0"/>
        <w:jc w:val="both"/>
        <w:rPr>
          <w:sz w:val="22"/>
          <w:szCs w:val="22"/>
        </w:rPr>
      </w:pPr>
      <w:r w:rsidRPr="00EC14DE">
        <w:rPr>
          <w:sz w:val="22"/>
          <w:szCs w:val="22"/>
        </w:rPr>
        <w:t>reddito medio pro capite inferiore di oltre 3.000 euro rispetto alla media nazionale;</w:t>
      </w:r>
    </w:p>
    <w:p w14:paraId="08A2E797" w14:textId="77777777" w:rsidR="00333313" w:rsidRPr="00EC14DE" w:rsidRDefault="00333313" w:rsidP="000831E3">
      <w:pPr>
        <w:pStyle w:val="wordsection1"/>
        <w:widowControl w:val="0"/>
        <w:numPr>
          <w:ilvl w:val="0"/>
          <w:numId w:val="33"/>
        </w:numPr>
        <w:jc w:val="both"/>
        <w:rPr>
          <w:sz w:val="22"/>
          <w:szCs w:val="22"/>
        </w:rPr>
      </w:pPr>
      <w:r w:rsidRPr="00EC14DE">
        <w:rPr>
          <w:sz w:val="22"/>
          <w:szCs w:val="22"/>
        </w:rPr>
        <w:t>Indice di Vulnerabilità Sociale e Materiale (IVSM) superiore alla media nazionale.</w:t>
      </w:r>
    </w:p>
    <w:p w14:paraId="6C9B30DE" w14:textId="77777777" w:rsidR="00333313" w:rsidRPr="00EC14DE" w:rsidRDefault="00333313" w:rsidP="007C594F">
      <w:pPr>
        <w:pStyle w:val="wordsection1"/>
        <w:widowControl w:val="0"/>
        <w:jc w:val="both"/>
        <w:rPr>
          <w:sz w:val="22"/>
          <w:szCs w:val="22"/>
        </w:rPr>
      </w:pPr>
      <w:r w:rsidRPr="00EC14DE">
        <w:rPr>
          <w:sz w:val="22"/>
          <w:szCs w:val="22"/>
        </w:rPr>
        <w:t>2. Il contributo di cui al comma 1 è ripartito in proporzione alla popolazione al 31 dicembre 2019 post censimento</w:t>
      </w:r>
      <w:r w:rsidR="000518A0" w:rsidRPr="00EC14DE">
        <w:rPr>
          <w:sz w:val="22"/>
          <w:szCs w:val="22"/>
        </w:rPr>
        <w:t xml:space="preserve">, disponibile al seguente link: </w:t>
      </w:r>
      <w:hyperlink r:id="rId24" w:history="1">
        <w:r w:rsidR="000518A0" w:rsidRPr="00EC14DE">
          <w:rPr>
            <w:rStyle w:val="Collegamentoipertestuale"/>
            <w:color w:val="auto"/>
            <w:sz w:val="22"/>
            <w:szCs w:val="22"/>
            <w:u w:val="none"/>
          </w:rPr>
          <w:t>http://demo.istat.it/bil/index.php?anno=2019&amp;lingua=ita</w:t>
        </w:r>
      </w:hyperlink>
      <w:r w:rsidR="000518A0" w:rsidRPr="00EC14DE">
        <w:rPr>
          <w:sz w:val="22"/>
          <w:szCs w:val="22"/>
        </w:rPr>
        <w:t xml:space="preserve">, </w:t>
      </w:r>
      <w:r w:rsidRPr="00EC14DE">
        <w:rPr>
          <w:sz w:val="22"/>
          <w:szCs w:val="22"/>
        </w:rPr>
        <w:t>con decreto del Ministero dell’interno di concerto con il Ministero dell’economia e delle finanze, previa intesa in Conferenza Stato-città ed autonomie locali, da adottare entro il 28 febbraio 2022.</w:t>
      </w:r>
    </w:p>
    <w:p w14:paraId="18AEAA83" w14:textId="77777777" w:rsidR="007D6EB1" w:rsidRPr="00EC14DE" w:rsidRDefault="007D6EB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395998" w:rsidRPr="00EC14DE">
        <w:t>Disposizioni in materia di indennità dei sindaci metropolitani, dei sindaci e degli amministratori locali</w:t>
      </w:r>
      <w:r w:rsidRPr="00EC14DE">
        <w:t xml:space="preserve">) </w:t>
      </w:r>
    </w:p>
    <w:p w14:paraId="7FD032C9" w14:textId="77777777" w:rsidR="00682611" w:rsidRPr="00EC14DE" w:rsidRDefault="00682611" w:rsidP="00682611">
      <w:pPr>
        <w:rPr>
          <w:rFonts w:eastAsia="Times New Roman" w:cs="Times New Roman"/>
        </w:rPr>
      </w:pPr>
      <w:r w:rsidRPr="00EC14DE">
        <w:rPr>
          <w:rFonts w:eastAsia="Times New Roman" w:cs="Times New Roman"/>
          <w:bCs/>
        </w:rPr>
        <w:t>1. A decorrere dal 2024, l</w:t>
      </w:r>
      <w:r w:rsidRPr="00EC14DE">
        <w:rPr>
          <w:rFonts w:eastAsia="Times New Roman" w:cs="Times New Roman"/>
        </w:rPr>
        <w:t xml:space="preserve">'indennità di funzione dei sindaci metropolitani e dei sindaci dei comuni ubicati nelle regioni a statuto ordinario, </w:t>
      </w:r>
      <w:r w:rsidRPr="00EC14DE">
        <w:rPr>
          <w:rFonts w:eastAsia="Times New Roman" w:cs="Times New Roman"/>
          <w:bCs/>
        </w:rPr>
        <w:t>è parametrata al</w:t>
      </w:r>
      <w:r w:rsidRPr="00EC14DE">
        <w:rPr>
          <w:rFonts w:eastAsia="Times New Roman" w:cs="Times New Roman"/>
        </w:rPr>
        <w:t xml:space="preserve"> trattamento economico complessivo dei presidenti delle regioni come individuato dalla Conferenza permanente per i rapporti tra lo Stato, le regioni e le province autonome di Trento e di Bolzano ai sensi dell'articolo 2, comma 1, lettera b) del decreto-legge 10 ottobre 2012, n. 174, convertito, con modificazioni, dalla legge 7 dicembre 2012, n. 213, in relazione alla popolazione risultante dall’ultimo censimento ufficiale, nelle seguenti misure:</w:t>
      </w:r>
    </w:p>
    <w:p w14:paraId="713948FF" w14:textId="77777777" w:rsidR="00AA752F" w:rsidRPr="00EC14DE" w:rsidRDefault="002B1624" w:rsidP="00682611">
      <w:pPr>
        <w:widowControl w:val="0"/>
        <w:rPr>
          <w:rFonts w:cs="Times New Roman"/>
        </w:rPr>
      </w:pPr>
      <w:r w:rsidRPr="00EC14DE">
        <w:rPr>
          <w:rFonts w:cs="Times New Roman"/>
        </w:rPr>
        <w:t xml:space="preserve">a) </w:t>
      </w:r>
      <w:r w:rsidR="00AA752F" w:rsidRPr="00EC14DE">
        <w:rPr>
          <w:rFonts w:cs="Times New Roman"/>
        </w:rPr>
        <w:t>100 per cento per i sindaci metropolitani;</w:t>
      </w:r>
    </w:p>
    <w:p w14:paraId="3DB241C4" w14:textId="77777777" w:rsidR="00AA752F" w:rsidRPr="00EC14DE" w:rsidRDefault="002B1624" w:rsidP="002B1624">
      <w:pPr>
        <w:pStyle w:val="Paragrafoelenco"/>
        <w:widowControl w:val="0"/>
        <w:spacing w:line="240" w:lineRule="auto"/>
        <w:ind w:left="0"/>
        <w:contextualSpacing w:val="0"/>
        <w:jc w:val="both"/>
        <w:rPr>
          <w:rFonts w:ascii="Times New Roman" w:hAnsi="Times New Roman" w:cs="Times New Roman"/>
        </w:rPr>
      </w:pPr>
      <w:r w:rsidRPr="00EC14DE">
        <w:rPr>
          <w:rFonts w:ascii="Times New Roman" w:hAnsi="Times New Roman" w:cs="Times New Roman"/>
        </w:rPr>
        <w:t xml:space="preserve">b) </w:t>
      </w:r>
      <w:r w:rsidR="00AA752F" w:rsidRPr="00EC14DE">
        <w:rPr>
          <w:rFonts w:ascii="Times New Roman" w:hAnsi="Times New Roman" w:cs="Times New Roman"/>
        </w:rPr>
        <w:t>80 per cento per i sindaci dei comuni capoluogo di regione e per i sindaci dei comuni capoluogo di provincia con popolazione superiore a 100.000 abitanti;</w:t>
      </w:r>
    </w:p>
    <w:p w14:paraId="7A91E207" w14:textId="77777777" w:rsidR="00AA752F" w:rsidRPr="00EC14DE" w:rsidRDefault="002B1624" w:rsidP="002B1624">
      <w:pPr>
        <w:pStyle w:val="Paragrafoelenco"/>
        <w:widowControl w:val="0"/>
        <w:spacing w:line="240" w:lineRule="auto"/>
        <w:ind w:left="0"/>
        <w:contextualSpacing w:val="0"/>
        <w:rPr>
          <w:rFonts w:ascii="Times New Roman" w:hAnsi="Times New Roman" w:cs="Times New Roman"/>
        </w:rPr>
      </w:pPr>
      <w:r w:rsidRPr="00EC14DE">
        <w:rPr>
          <w:rFonts w:ascii="Times New Roman" w:hAnsi="Times New Roman" w:cs="Times New Roman"/>
        </w:rPr>
        <w:t xml:space="preserve">c) </w:t>
      </w:r>
      <w:r w:rsidR="00AA752F" w:rsidRPr="00EC14DE">
        <w:rPr>
          <w:rFonts w:ascii="Times New Roman" w:hAnsi="Times New Roman" w:cs="Times New Roman"/>
        </w:rPr>
        <w:t>70 per cento per i sindaci dei comuni capoluogo di provincia con popolazione fino a 100.000 abitanti;</w:t>
      </w:r>
    </w:p>
    <w:p w14:paraId="499920FA" w14:textId="77777777" w:rsidR="00AA752F" w:rsidRPr="00EC14DE" w:rsidRDefault="002B1624" w:rsidP="002B1624">
      <w:pPr>
        <w:pStyle w:val="Paragrafoelenco"/>
        <w:widowControl w:val="0"/>
        <w:spacing w:line="240" w:lineRule="auto"/>
        <w:ind w:left="0"/>
        <w:contextualSpacing w:val="0"/>
        <w:rPr>
          <w:rFonts w:ascii="Times New Roman" w:hAnsi="Times New Roman" w:cs="Times New Roman"/>
        </w:rPr>
      </w:pPr>
      <w:r w:rsidRPr="00EC14DE">
        <w:rPr>
          <w:rFonts w:ascii="Times New Roman" w:hAnsi="Times New Roman" w:cs="Times New Roman"/>
        </w:rPr>
        <w:t xml:space="preserve">d) </w:t>
      </w:r>
      <w:r w:rsidR="00AA752F" w:rsidRPr="00EC14DE">
        <w:rPr>
          <w:rFonts w:ascii="Times New Roman" w:hAnsi="Times New Roman" w:cs="Times New Roman"/>
        </w:rPr>
        <w:t>45 per cento per i sindaci dei comuni con popolazione superiore a 50.000 abitanti;</w:t>
      </w:r>
    </w:p>
    <w:p w14:paraId="1292E92B" w14:textId="77777777" w:rsidR="00AA752F" w:rsidRPr="00EC14DE" w:rsidRDefault="002B1624" w:rsidP="002B1624">
      <w:pPr>
        <w:pStyle w:val="Paragrafoelenco"/>
        <w:widowControl w:val="0"/>
        <w:spacing w:line="240" w:lineRule="auto"/>
        <w:ind w:left="0"/>
        <w:contextualSpacing w:val="0"/>
        <w:rPr>
          <w:rFonts w:ascii="Times New Roman" w:hAnsi="Times New Roman" w:cs="Times New Roman"/>
        </w:rPr>
      </w:pPr>
      <w:r w:rsidRPr="00EC14DE">
        <w:rPr>
          <w:rFonts w:ascii="Times New Roman" w:hAnsi="Times New Roman" w:cs="Times New Roman"/>
        </w:rPr>
        <w:t xml:space="preserve">e) </w:t>
      </w:r>
      <w:r w:rsidR="00AA752F" w:rsidRPr="00EC14DE">
        <w:rPr>
          <w:rFonts w:ascii="Times New Roman" w:hAnsi="Times New Roman" w:cs="Times New Roman"/>
        </w:rPr>
        <w:t>35 per cento per i sindaci comuni con popolazione da 30.001 a 50.000 abitanti;</w:t>
      </w:r>
    </w:p>
    <w:p w14:paraId="2907E200" w14:textId="77777777" w:rsidR="00AA752F" w:rsidRPr="00EC14DE" w:rsidRDefault="002B1624" w:rsidP="002B1624">
      <w:pPr>
        <w:pStyle w:val="Paragrafoelenco"/>
        <w:widowControl w:val="0"/>
        <w:spacing w:line="240" w:lineRule="auto"/>
        <w:ind w:left="0"/>
        <w:contextualSpacing w:val="0"/>
        <w:rPr>
          <w:rFonts w:ascii="Times New Roman" w:hAnsi="Times New Roman" w:cs="Times New Roman"/>
        </w:rPr>
      </w:pPr>
      <w:r w:rsidRPr="00EC14DE">
        <w:rPr>
          <w:rFonts w:ascii="Times New Roman" w:hAnsi="Times New Roman" w:cs="Times New Roman"/>
        </w:rPr>
        <w:t xml:space="preserve">f) </w:t>
      </w:r>
      <w:r w:rsidR="00AA752F" w:rsidRPr="00EC14DE">
        <w:rPr>
          <w:rFonts w:ascii="Times New Roman" w:hAnsi="Times New Roman" w:cs="Times New Roman"/>
        </w:rPr>
        <w:t>30 per cento per i sindaci dei comuni con popolazione da 10.001 a 30.000 abitanti;</w:t>
      </w:r>
    </w:p>
    <w:p w14:paraId="2E75E980" w14:textId="77777777" w:rsidR="00AA752F" w:rsidRPr="00EC14DE" w:rsidRDefault="002B1624" w:rsidP="002B1624">
      <w:pPr>
        <w:pStyle w:val="Paragrafoelenco"/>
        <w:widowControl w:val="0"/>
        <w:spacing w:line="240" w:lineRule="auto"/>
        <w:ind w:left="0"/>
        <w:contextualSpacing w:val="0"/>
        <w:rPr>
          <w:rFonts w:ascii="Times New Roman" w:hAnsi="Times New Roman" w:cs="Times New Roman"/>
        </w:rPr>
      </w:pPr>
      <w:r w:rsidRPr="00EC14DE">
        <w:rPr>
          <w:rFonts w:ascii="Times New Roman" w:hAnsi="Times New Roman" w:cs="Times New Roman"/>
        </w:rPr>
        <w:t xml:space="preserve">g) </w:t>
      </w:r>
      <w:r w:rsidR="00AA752F" w:rsidRPr="00EC14DE">
        <w:rPr>
          <w:rFonts w:ascii="Times New Roman" w:hAnsi="Times New Roman" w:cs="Times New Roman"/>
        </w:rPr>
        <w:t>29 per cento per i sindaci dei comuni con popolazione da 5.001 a 10.000 abitanti;</w:t>
      </w:r>
    </w:p>
    <w:p w14:paraId="7C8BA29F" w14:textId="77777777" w:rsidR="00AA752F" w:rsidRPr="00EC14DE" w:rsidRDefault="002B1624" w:rsidP="002B1624">
      <w:pPr>
        <w:pStyle w:val="Paragrafoelenco"/>
        <w:widowControl w:val="0"/>
        <w:spacing w:line="240" w:lineRule="auto"/>
        <w:ind w:left="0"/>
        <w:contextualSpacing w:val="0"/>
        <w:rPr>
          <w:rFonts w:ascii="Times New Roman" w:hAnsi="Times New Roman" w:cs="Times New Roman"/>
        </w:rPr>
      </w:pPr>
      <w:r w:rsidRPr="00EC14DE">
        <w:rPr>
          <w:rFonts w:ascii="Times New Roman" w:hAnsi="Times New Roman" w:cs="Times New Roman"/>
        </w:rPr>
        <w:t xml:space="preserve">h) </w:t>
      </w:r>
      <w:r w:rsidR="00AA752F" w:rsidRPr="00EC14DE">
        <w:rPr>
          <w:rFonts w:ascii="Times New Roman" w:hAnsi="Times New Roman" w:cs="Times New Roman"/>
        </w:rPr>
        <w:t xml:space="preserve">22 per cento per i sindaci dei comuni con popolazione da 3.001 a 5.000 abitanti; </w:t>
      </w:r>
    </w:p>
    <w:p w14:paraId="13EAA6C6" w14:textId="77777777" w:rsidR="00AA752F" w:rsidRPr="00EC14DE" w:rsidRDefault="002B1624" w:rsidP="002B1624">
      <w:pPr>
        <w:pStyle w:val="Paragrafoelenco"/>
        <w:widowControl w:val="0"/>
        <w:spacing w:line="240" w:lineRule="auto"/>
        <w:ind w:left="0"/>
        <w:contextualSpacing w:val="0"/>
        <w:rPr>
          <w:rFonts w:ascii="Times New Roman" w:hAnsi="Times New Roman" w:cs="Times New Roman"/>
        </w:rPr>
      </w:pPr>
      <w:r w:rsidRPr="00EC14DE">
        <w:rPr>
          <w:rFonts w:ascii="Times New Roman" w:hAnsi="Times New Roman" w:cs="Times New Roman"/>
        </w:rPr>
        <w:t xml:space="preserve">i) </w:t>
      </w:r>
      <w:r w:rsidR="00AA752F" w:rsidRPr="00EC14DE">
        <w:rPr>
          <w:rFonts w:ascii="Times New Roman" w:hAnsi="Times New Roman" w:cs="Times New Roman"/>
        </w:rPr>
        <w:t>16 per cento per i sindaci comuni con popolazione fino a 3.000 abitanti. </w:t>
      </w:r>
    </w:p>
    <w:p w14:paraId="2C0CBAE5" w14:textId="77777777" w:rsidR="00381F23" w:rsidRPr="00EC14DE" w:rsidRDefault="005440B6" w:rsidP="002B1624">
      <w:pPr>
        <w:pStyle w:val="Paragrafoelenco"/>
        <w:widowControl w:val="0"/>
        <w:spacing w:line="240" w:lineRule="auto"/>
        <w:ind w:left="0"/>
        <w:contextualSpacing w:val="0"/>
        <w:jc w:val="both"/>
        <w:rPr>
          <w:rFonts w:ascii="Times New Roman" w:hAnsi="Times New Roman" w:cs="Times New Roman"/>
        </w:rPr>
      </w:pPr>
      <w:r w:rsidRPr="00EC14DE">
        <w:rPr>
          <w:rFonts w:ascii="Times New Roman" w:hAnsi="Times New Roman" w:cs="Times New Roman"/>
        </w:rPr>
        <w:t>In sede di prima applicazione la predetta indennità di funzione è adeguata al 45 per cento nell’anno 2022 e al 68 per cento nell’anno 2023 delle misure indicate alle lettere precedenti.</w:t>
      </w:r>
      <w:r w:rsidR="008F6B4B" w:rsidRPr="00EC14DE">
        <w:rPr>
          <w:rFonts w:ascii="Times New Roman" w:hAnsi="Times New Roman" w:cs="Times New Roman"/>
        </w:rPr>
        <w:t xml:space="preserve"> </w:t>
      </w:r>
      <w:r w:rsidR="00381F23" w:rsidRPr="00EC14DE">
        <w:rPr>
          <w:rFonts w:ascii="Times New Roman" w:hAnsi="Times New Roman" w:cs="Times New Roman"/>
        </w:rPr>
        <w:t>A decorrere dall’anno 2022 la predetta indennità può essere altresì corrisposta nelle integrali misure di cui alle lettere precedenti nel rispetto pluriennale dell’equilibrio di bilancio.</w:t>
      </w:r>
    </w:p>
    <w:p w14:paraId="7F6AA92C" w14:textId="77777777" w:rsidR="00AA752F" w:rsidRPr="00EC14DE" w:rsidRDefault="002B1624" w:rsidP="002B1624">
      <w:pPr>
        <w:pStyle w:val="Paragrafoelenco"/>
        <w:widowControl w:val="0"/>
        <w:spacing w:line="240" w:lineRule="auto"/>
        <w:ind w:left="0"/>
        <w:contextualSpacing w:val="0"/>
        <w:jc w:val="both"/>
        <w:rPr>
          <w:rFonts w:ascii="Times New Roman" w:hAnsi="Times New Roman" w:cs="Times New Roman"/>
        </w:rPr>
      </w:pPr>
      <w:r w:rsidRPr="00EC14DE">
        <w:rPr>
          <w:rFonts w:ascii="Times New Roman" w:hAnsi="Times New Roman" w:cs="Times New Roman"/>
        </w:rPr>
        <w:t xml:space="preserve">2. </w:t>
      </w:r>
      <w:r w:rsidR="00AA752F" w:rsidRPr="00EC14DE">
        <w:rPr>
          <w:rFonts w:ascii="Times New Roman" w:hAnsi="Times New Roman" w:cs="Times New Roman"/>
        </w:rPr>
        <w:t>Le indennità di funzione da corrispondere ai vicesindaci, agli assessori ed ai presidenti dei cons</w:t>
      </w:r>
      <w:r w:rsidR="00316D83" w:rsidRPr="00EC14DE">
        <w:rPr>
          <w:rFonts w:ascii="Times New Roman" w:hAnsi="Times New Roman" w:cs="Times New Roman"/>
        </w:rPr>
        <w:t>igli comunali sono adeguate all’</w:t>
      </w:r>
      <w:r w:rsidR="00AA752F" w:rsidRPr="00EC14DE">
        <w:rPr>
          <w:rFonts w:ascii="Times New Roman" w:hAnsi="Times New Roman" w:cs="Times New Roman"/>
        </w:rPr>
        <w:t>indennità di funzione dei corrispondenti sindaci come incrementate per effetto di quanto previsto dal comma 1, con l’applicazione delle percentuali previste per le medesime finalità dal decreto del Ministro dell’interno del 4 aprile 2000, n. 119.</w:t>
      </w:r>
    </w:p>
    <w:p w14:paraId="39E8EFDA" w14:textId="77777777" w:rsidR="005440B6" w:rsidRPr="00EC14DE" w:rsidRDefault="002B1624" w:rsidP="002B1624">
      <w:pPr>
        <w:pStyle w:val="Paragrafoelenco"/>
        <w:widowControl w:val="0"/>
        <w:shd w:val="clear" w:color="auto" w:fill="FFFFFF"/>
        <w:spacing w:line="240" w:lineRule="auto"/>
        <w:ind w:left="0"/>
        <w:contextualSpacing w:val="0"/>
        <w:jc w:val="both"/>
        <w:rPr>
          <w:rFonts w:ascii="Times New Roman" w:hAnsi="Times New Roman" w:cs="Times New Roman"/>
        </w:rPr>
      </w:pPr>
      <w:r w:rsidRPr="00EC14DE">
        <w:rPr>
          <w:rFonts w:ascii="Times New Roman" w:hAnsi="Times New Roman" w:cs="Times New Roman"/>
        </w:rPr>
        <w:t xml:space="preserve">3. </w:t>
      </w:r>
      <w:r w:rsidR="00AA752F" w:rsidRPr="00EC14DE">
        <w:rPr>
          <w:rFonts w:ascii="Times New Roman" w:hAnsi="Times New Roman" w:cs="Times New Roman"/>
        </w:rPr>
        <w:t>A titolo di concorso alla copertura del maggior onere sostenuto dai comuni per la corresponsione dell'incremento delle indennità di funzione previste dai commi 1 e 2 del presente articolo, il fondo di cui all’articolo 57-</w:t>
      </w:r>
      <w:r w:rsidR="00AA752F" w:rsidRPr="00EC14DE">
        <w:rPr>
          <w:rFonts w:ascii="Times New Roman" w:hAnsi="Times New Roman" w:cs="Times New Roman"/>
          <w:i/>
          <w:iCs/>
        </w:rPr>
        <w:t>quater</w:t>
      </w:r>
      <w:r w:rsidR="00AA752F" w:rsidRPr="00EC14DE">
        <w:rPr>
          <w:rFonts w:ascii="Times New Roman" w:hAnsi="Times New Roman" w:cs="Times New Roman"/>
        </w:rPr>
        <w:t>, comma 2, del decreto legge 26 ottobre 2019, n. 124, convertito, con modificazioni, dalla legge 19 dicembre 2029, n. 157, è incrementato di 100 milioni di euro per l’anno 2022, di 150 milioni di euro per l’anno 2023, e di 220 milioni di euro a decorrere dall’anno 2024.</w:t>
      </w:r>
      <w:r w:rsidRPr="00EC14DE">
        <w:rPr>
          <w:rFonts w:ascii="Times New Roman" w:hAnsi="Times New Roman" w:cs="Times New Roman"/>
        </w:rPr>
        <w:t xml:space="preserve"> </w:t>
      </w:r>
    </w:p>
    <w:p w14:paraId="38464334" w14:textId="77777777" w:rsidR="000B1BA3" w:rsidRPr="00EC14DE" w:rsidRDefault="002B1624" w:rsidP="000B1BA3">
      <w:pPr>
        <w:pStyle w:val="Paragrafoelenco"/>
        <w:widowControl w:val="0"/>
        <w:shd w:val="clear" w:color="auto" w:fill="FFFFFF"/>
        <w:spacing w:line="240" w:lineRule="auto"/>
        <w:ind w:left="0"/>
        <w:contextualSpacing w:val="0"/>
        <w:jc w:val="both"/>
        <w:rPr>
          <w:rFonts w:ascii="Times New Roman" w:hAnsi="Times New Roman" w:cs="Times New Roman"/>
        </w:rPr>
      </w:pPr>
      <w:r w:rsidRPr="00EC14DE">
        <w:rPr>
          <w:rFonts w:ascii="Times New Roman" w:hAnsi="Times New Roman" w:cs="Times New Roman"/>
        </w:rPr>
        <w:t xml:space="preserve">4. </w:t>
      </w:r>
      <w:r w:rsidR="00BE30F0" w:rsidRPr="00EC14DE">
        <w:rPr>
          <w:rFonts w:ascii="Times New Roman" w:hAnsi="Times New Roman" w:cs="Times New Roman"/>
        </w:rPr>
        <w:t xml:space="preserve">Le </w:t>
      </w:r>
      <w:r w:rsidR="00AA752F" w:rsidRPr="00EC14DE">
        <w:rPr>
          <w:rFonts w:ascii="Times New Roman" w:hAnsi="Times New Roman" w:cs="Times New Roman"/>
        </w:rPr>
        <w:t xml:space="preserve">risorse di cui al comma 3 sono ripartite tra i comuni interessati con decreto del Ministro dell'interno, di concerto con il Ministro dell'economia e delle finanze, previa intesa in sede di Conferenza Stato-città ed autonomie locali. Il comune beneficiario è tenuto a riversare </w:t>
      </w:r>
      <w:r w:rsidR="00F05059" w:rsidRPr="00EC14DE">
        <w:rPr>
          <w:rFonts w:ascii="Times New Roman" w:hAnsi="Times New Roman" w:cs="Times New Roman"/>
        </w:rPr>
        <w:t xml:space="preserve">ad apposito capitolo </w:t>
      </w:r>
      <w:r w:rsidR="00D31D34" w:rsidRPr="00EC14DE">
        <w:rPr>
          <w:rFonts w:ascii="Times New Roman" w:hAnsi="Times New Roman" w:cs="Times New Roman"/>
        </w:rPr>
        <w:t xml:space="preserve">di entrata </w:t>
      </w:r>
      <w:r w:rsidR="00F05059" w:rsidRPr="00EC14DE">
        <w:rPr>
          <w:rFonts w:ascii="Times New Roman" w:hAnsi="Times New Roman" w:cs="Times New Roman"/>
        </w:rPr>
        <w:t xml:space="preserve">del </w:t>
      </w:r>
      <w:r w:rsidR="001A6B01" w:rsidRPr="00EC14DE">
        <w:rPr>
          <w:rFonts w:ascii="Times New Roman" w:hAnsi="Times New Roman" w:cs="Times New Roman"/>
        </w:rPr>
        <w:t xml:space="preserve">bilancio dello Stato </w:t>
      </w:r>
      <w:r w:rsidR="00AA752F" w:rsidRPr="00EC14DE">
        <w:rPr>
          <w:rFonts w:ascii="Times New Roman" w:hAnsi="Times New Roman" w:cs="Times New Roman"/>
        </w:rPr>
        <w:t>l’importo del contributo non utilizz</w:t>
      </w:r>
      <w:r w:rsidR="00D31D34" w:rsidRPr="00EC14DE">
        <w:rPr>
          <w:rFonts w:ascii="Times New Roman" w:hAnsi="Times New Roman" w:cs="Times New Roman"/>
        </w:rPr>
        <w:t>ato nell’esercizio finanziario.</w:t>
      </w:r>
    </w:p>
    <w:p w14:paraId="7A8D06E4" w14:textId="77777777" w:rsidR="00DB7EEA" w:rsidRPr="00EC14DE" w:rsidRDefault="001D0DF0" w:rsidP="000B1BA3">
      <w:pPr>
        <w:pStyle w:val="Titolo3"/>
        <w:rPr>
          <w:lang w:val="en-US"/>
        </w:rPr>
      </w:pPr>
      <w:r w:rsidRPr="00EC14DE">
        <w:t>A</w:t>
      </w:r>
      <w:r w:rsidR="007449B4" w:rsidRPr="00EC14DE">
        <w:t xml:space="preserve">RT. </w:t>
      </w:r>
      <w:r w:rsidR="007449B4" w:rsidRPr="00EC14DE">
        <w:fldChar w:fldCharType="begin"/>
      </w:r>
      <w:r w:rsidR="007449B4" w:rsidRPr="00EC14DE">
        <w:instrText xml:space="preserve"> AUTONUM  \* Arabic </w:instrText>
      </w:r>
      <w:r w:rsidR="007449B4" w:rsidRPr="00EC14DE">
        <w:fldChar w:fldCharType="end"/>
      </w:r>
      <w:r w:rsidR="00DB7EEA" w:rsidRPr="00EC14DE">
        <w:rPr>
          <w:lang w:val="en-US"/>
        </w:rPr>
        <w:br/>
        <w:t>(</w:t>
      </w:r>
      <w:r w:rsidR="00DB7EEA" w:rsidRPr="00EC14DE">
        <w:t>Versamento ristori minori entrate da lotta all’evasione)</w:t>
      </w:r>
    </w:p>
    <w:p w14:paraId="0F4E5357" w14:textId="77777777" w:rsidR="00DB7EEA" w:rsidRPr="00EC14DE" w:rsidRDefault="00DB7EEA" w:rsidP="007C594F">
      <w:pPr>
        <w:widowControl w:val="0"/>
        <w:shd w:val="clear" w:color="auto" w:fill="FFFFFF"/>
      </w:pPr>
      <w:r w:rsidRPr="00EC14DE">
        <w:rPr>
          <w:rFonts w:cs="Times New Roman"/>
        </w:rPr>
        <w:t>1. Al decreto-legge 19 maggio 2020, n. 34, convertito con modificazioni dalla legge 17 luglio 2020, n. 77, sono apportate le seguenti modifiche:</w:t>
      </w:r>
    </w:p>
    <w:p w14:paraId="4ADFE37B" w14:textId="77777777" w:rsidR="00DB7EEA" w:rsidRPr="00EC14DE" w:rsidRDefault="00DB7EEA" w:rsidP="000831E3">
      <w:pPr>
        <w:widowControl w:val="0"/>
        <w:numPr>
          <w:ilvl w:val="1"/>
          <w:numId w:val="34"/>
        </w:numPr>
        <w:shd w:val="clear" w:color="auto" w:fill="FFFFFF"/>
      </w:pPr>
      <w:r w:rsidRPr="00EC14DE">
        <w:rPr>
          <w:rFonts w:cs="Times New Roman"/>
        </w:rPr>
        <w:t xml:space="preserve">all’articolo 111, comma 2-novies, le parole da “e fino alla concorrenza” a “Trento e di Bolzano” sono sostituite dalle seguenti “entro il 30 giugno di ciascun anno, ciascuna Regione versa all'entrata del bilancio dello Stato la quota annuale prevista dalla tabella 1, </w:t>
      </w:r>
      <w:bookmarkStart w:id="122" w:name="_Hlk83388190"/>
      <w:r w:rsidRPr="00EC14DE">
        <w:rPr>
          <w:rFonts w:cs="Times New Roman"/>
        </w:rPr>
        <w:t>fino alla concorrenza delle risorse ricevute a ristoro delle minori entrate derivanti dalla lotta all'evasione indicate nella tabella 1</w:t>
      </w:r>
      <w:bookmarkEnd w:id="122"/>
      <w:r w:rsidRPr="00EC14DE">
        <w:rPr>
          <w:rFonts w:cs="Times New Roman"/>
        </w:rPr>
        <w:t>”;</w:t>
      </w:r>
    </w:p>
    <w:p w14:paraId="0A26CC57" w14:textId="77777777" w:rsidR="00DB7EEA" w:rsidRPr="00EC14DE" w:rsidRDefault="00DB7EEA" w:rsidP="000831E3">
      <w:pPr>
        <w:widowControl w:val="0"/>
        <w:numPr>
          <w:ilvl w:val="1"/>
          <w:numId w:val="34"/>
        </w:numPr>
        <w:shd w:val="clear" w:color="auto" w:fill="FFFFFF"/>
      </w:pPr>
      <w:r w:rsidRPr="00EC14DE">
        <w:rPr>
          <w:rFonts w:cs="Times New Roman"/>
        </w:rPr>
        <w:t>nell’intestazione della tabella 1 è soppressa la parola “minima”.</w:t>
      </w:r>
    </w:p>
    <w:p w14:paraId="0D79D33D" w14:textId="77777777" w:rsidR="000F4178" w:rsidRPr="00C328C1" w:rsidRDefault="000F4178" w:rsidP="00C328C1">
      <w:pPr>
        <w:pStyle w:val="Titolo3"/>
      </w:pPr>
      <w:r w:rsidRPr="00C328C1">
        <w:t xml:space="preserve">ART. </w:t>
      </w:r>
      <w:r w:rsidRPr="00C328C1">
        <w:fldChar w:fldCharType="begin"/>
      </w:r>
      <w:r w:rsidRPr="00C328C1">
        <w:instrText xml:space="preserve"> AUTONUM  \* Arabic </w:instrText>
      </w:r>
      <w:r w:rsidRPr="00C328C1">
        <w:fldChar w:fldCharType="end"/>
      </w:r>
      <w:r w:rsidR="007A6C42" w:rsidRPr="00C328C1">
        <w:br/>
        <w:t>(Fondo per iniziative in favore della legalità e per la tutela degli amministratori locali vittime di atti intimidatori)</w:t>
      </w:r>
    </w:p>
    <w:p w14:paraId="15A99664" w14:textId="77777777" w:rsidR="007A6C42" w:rsidRPr="00EC14DE" w:rsidRDefault="007A6C42" w:rsidP="007A6C42">
      <w:r w:rsidRPr="00EC14DE">
        <w:t>1. Al fine di consentire agli enti locali l’adozione di iniziative per la promozione della legalità, nonché</w:t>
      </w:r>
      <w:r w:rsidRPr="00EC14DE">
        <w:rPr>
          <w:i/>
          <w:iCs/>
        </w:rPr>
        <w:t xml:space="preserve"> </w:t>
      </w:r>
      <w:r w:rsidRPr="00EC14DE">
        <w:t>misure di ristoro del patrimonio dell’ente o in favore degli amministratori locali che hanno subito episodi di intimidazione connessi all’esercizio delle funzioni istituzionali esercitate,</w:t>
      </w:r>
      <w:r w:rsidRPr="00EC14DE">
        <w:rPr>
          <w:bCs/>
        </w:rPr>
        <w:t xml:space="preserve"> </w:t>
      </w:r>
      <w:r w:rsidRPr="00EC14DE">
        <w:t>è istituito nello stato di previsione del Ministero dell’interno un Fondo con una dotazione finanziaria pari a 5 milioni di euro per ciascuno degli anni dal 2022 al 2024. Con decreto del Ministro dell’interno, di concerto con il Ministro dell’istruzione</w:t>
      </w:r>
      <w:r w:rsidRPr="00EC14DE">
        <w:rPr>
          <w:bCs/>
        </w:rPr>
        <w:t xml:space="preserve"> </w:t>
      </w:r>
      <w:r w:rsidRPr="00EC14DE">
        <w:t>e con il Ministro dell’economia e delle finanze, sentita la Conferenza Stato-città ed autonomie locali, da adottare entro sessanta giorni dalla data di entrata in vigore della presente legge, sono definiti i criteri e le modalità di ripartizione del Fondo.</w:t>
      </w:r>
    </w:p>
    <w:p w14:paraId="25FB3BE4" w14:textId="77777777" w:rsidR="00DB7EEA" w:rsidRPr="00EC14DE" w:rsidRDefault="00DB7EEA" w:rsidP="007C594F">
      <w:pPr>
        <w:pStyle w:val="Titolo3"/>
        <w:keepNext w:val="0"/>
        <w:keepLines w:val="0"/>
        <w:widowControl w:val="0"/>
        <w:rPr>
          <w:szCs w:val="22"/>
        </w:rPr>
      </w:pPr>
      <w:r w:rsidRPr="00EC14DE">
        <w:rPr>
          <w:szCs w:val="22"/>
        </w:rPr>
        <w:t xml:space="preserve">ART. </w:t>
      </w:r>
      <w:r w:rsidRPr="00EC14DE">
        <w:rPr>
          <w:szCs w:val="22"/>
        </w:rPr>
        <w:fldChar w:fldCharType="begin"/>
      </w:r>
      <w:r w:rsidRPr="00EC14DE">
        <w:rPr>
          <w:szCs w:val="22"/>
        </w:rPr>
        <w:instrText xml:space="preserve"> AUTONUM  \* Arabic </w:instrText>
      </w:r>
      <w:r w:rsidRPr="00EC14DE">
        <w:rPr>
          <w:szCs w:val="22"/>
        </w:rPr>
        <w:fldChar w:fldCharType="end"/>
      </w:r>
      <w:r w:rsidRPr="00EC14DE">
        <w:rPr>
          <w:rFonts w:cs="Times New Roman"/>
          <w:bCs/>
          <w:szCs w:val="22"/>
        </w:rPr>
        <w:br/>
        <w:t>(</w:t>
      </w:r>
      <w:r w:rsidR="005433D5" w:rsidRPr="00EC14DE">
        <w:rPr>
          <w:rFonts w:cs="Times New Roman"/>
          <w:bCs/>
          <w:szCs w:val="22"/>
        </w:rPr>
        <w:t>Proroga dei</w:t>
      </w:r>
      <w:r w:rsidRPr="00EC14DE">
        <w:rPr>
          <w:rFonts w:cs="Times New Roman"/>
          <w:bCs/>
          <w:szCs w:val="22"/>
        </w:rPr>
        <w:t xml:space="preserve"> termini</w:t>
      </w:r>
      <w:r w:rsidR="005433D5" w:rsidRPr="00EC14DE">
        <w:rPr>
          <w:rFonts w:cs="Times New Roman"/>
          <w:bCs/>
          <w:szCs w:val="22"/>
        </w:rPr>
        <w:t xml:space="preserve"> in materia di certificazioni degli enti locali</w:t>
      </w:r>
      <w:r w:rsidRPr="00EC14DE">
        <w:rPr>
          <w:rFonts w:cs="Times New Roman"/>
          <w:bCs/>
          <w:szCs w:val="22"/>
        </w:rPr>
        <w:t xml:space="preserve">) </w:t>
      </w:r>
    </w:p>
    <w:p w14:paraId="32357132" w14:textId="77777777" w:rsidR="00DB7EEA" w:rsidRPr="00EC14DE" w:rsidRDefault="00DB7EEA" w:rsidP="007C594F">
      <w:pPr>
        <w:widowControl w:val="0"/>
        <w:rPr>
          <w:rFonts w:eastAsia="Times New Roman"/>
        </w:rPr>
      </w:pPr>
      <w:r w:rsidRPr="00EC14DE">
        <w:rPr>
          <w:rFonts w:eastAsia="Times New Roman" w:cs="Times New Roman"/>
        </w:rPr>
        <w:t>1. Al comma 829, dell’articolo 1, della legge 30 dicembre 2020, n. 178, le parole «30 giugno 2022» sono sostituite dalle seguenti: «31 ottobre 2022».</w:t>
      </w:r>
    </w:p>
    <w:p w14:paraId="47445D10" w14:textId="77777777" w:rsidR="00DB7EEA" w:rsidRPr="00EC14DE" w:rsidRDefault="00F649C2" w:rsidP="007C594F">
      <w:pPr>
        <w:widowControl w:val="0"/>
        <w:rPr>
          <w:rFonts w:eastAsia="Times New Roman"/>
        </w:rPr>
      </w:pPr>
      <w:r w:rsidRPr="00EC14DE">
        <w:rPr>
          <w:rFonts w:eastAsia="Times New Roman"/>
        </w:rPr>
        <w:t xml:space="preserve">2. </w:t>
      </w:r>
      <w:r w:rsidR="00DB7EEA" w:rsidRPr="00EC14DE">
        <w:rPr>
          <w:rFonts w:eastAsia="Times New Roman"/>
        </w:rPr>
        <w:t>Il comma 831, dell’articolo 1, della legge 30 dicembre 2020, n. 178, è sostituito con il seguente: “Al comma 1 dell'articolo 106 del decreto-legge 19 maggio 2020, n. 34, convertito, con modificazioni, dalla legge 17 luglio 2020, n. 77, le parole: «30 giugno 202</w:t>
      </w:r>
      <w:r w:rsidR="00CE3C38" w:rsidRPr="00EC14DE">
        <w:rPr>
          <w:rFonts w:eastAsia="Times New Roman"/>
        </w:rPr>
        <w:t>2</w:t>
      </w:r>
      <w:r w:rsidR="00DB7EEA" w:rsidRPr="00EC14DE">
        <w:rPr>
          <w:rFonts w:eastAsia="Times New Roman"/>
        </w:rPr>
        <w:t>» sono sostituite dalle seguenti: «31 ottobre 2022».</w:t>
      </w:r>
    </w:p>
    <w:p w14:paraId="24B2F6BF" w14:textId="77777777" w:rsidR="00DB7EEA" w:rsidRPr="00EC14DE" w:rsidRDefault="00DB7EEA" w:rsidP="00EC14DE">
      <w:pPr>
        <w:pStyle w:val="Titolo3"/>
      </w:pPr>
      <w:r w:rsidRPr="00EC14DE">
        <w:t xml:space="preserve">ART. </w:t>
      </w:r>
      <w:r w:rsidRPr="00EC14DE">
        <w:rPr>
          <w:rStyle w:val="Titolo3Carattere"/>
          <w:b/>
          <w:i/>
        </w:rPr>
        <w:fldChar w:fldCharType="begin"/>
      </w:r>
      <w:r w:rsidRPr="00EC14DE">
        <w:rPr>
          <w:rStyle w:val="Titolo3Carattere"/>
          <w:b/>
          <w:i/>
        </w:rPr>
        <w:instrText xml:space="preserve"> AUTONUM  \* Arabic </w:instrText>
      </w:r>
      <w:r w:rsidRPr="00EC14DE">
        <w:rPr>
          <w:rStyle w:val="Titolo3Carattere"/>
          <w:b/>
          <w:i/>
        </w:rPr>
        <w:fldChar w:fldCharType="end"/>
      </w:r>
      <w:r w:rsidRPr="00EC14DE">
        <w:br/>
        <w:t>(</w:t>
      </w:r>
      <w:r w:rsidR="00163B69" w:rsidRPr="00EC14DE">
        <w:t>Disposizioni concernenti le m</w:t>
      </w:r>
      <w:r w:rsidR="00564D57" w:rsidRPr="00EC14DE">
        <w:t xml:space="preserve">odalità per il riparto delle risorse </w:t>
      </w:r>
      <w:r w:rsidR="00163B69" w:rsidRPr="00EC14DE">
        <w:t>LEP da assegnare agli enti locali</w:t>
      </w:r>
      <w:r w:rsidRPr="00EC14DE">
        <w:t>)</w:t>
      </w:r>
    </w:p>
    <w:p w14:paraId="00B0BF41" w14:textId="77777777" w:rsidR="00215A40" w:rsidRPr="00EC14DE" w:rsidRDefault="009F25EA" w:rsidP="009F25EA">
      <w:pPr>
        <w:widowControl w:val="0"/>
        <w:rPr>
          <w:rFonts w:cs="Times New Roman"/>
        </w:rPr>
      </w:pPr>
      <w:r w:rsidRPr="00EC14DE">
        <w:rPr>
          <w:rFonts w:cs="Times New Roman"/>
        </w:rPr>
        <w:t xml:space="preserve">1. </w:t>
      </w:r>
      <w:r w:rsidR="00215A40" w:rsidRPr="00EC14DE">
        <w:rPr>
          <w:rFonts w:cs="Times New Roman"/>
        </w:rPr>
        <w:t>A decorrere dall’anno 2022, al fine di garantire l’unitarietà dell’azione di governo, nelle funzioni di competenza degli enti territoriali correlate con i livelli essenziali delle prestazioni,  nonché ai relativi fabbisogni, costi standard e obiettivi di servizio,  i Ministri competenti per materia sono tenuti, in ordine alle modalità di riparto delle risorse finanziarie necessarie e di monitoraggio sul raggiungimento degli obiettivi, ad acquisire il preventivo parere  della Commissione tecnica per i fabbisogni standard, di cui all’articolo 1, comma 29, della legge 28 dicembre 2015, n. 208, allo scopo integrata dai rappresentanti delle stesse Amministrazioni, in relazione alle specifiche funzioni, senza nuovi o maggiori oneri per la finanza pubblica.</w:t>
      </w:r>
    </w:p>
    <w:p w14:paraId="17A5C721" w14:textId="77777777" w:rsidR="00877E01" w:rsidRPr="00EC14DE" w:rsidRDefault="00877E0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D5376A" w:rsidRPr="00EC14DE">
        <w:t>Fondo per lo sviluppo delle montagne italiane</w:t>
      </w:r>
      <w:r w:rsidRPr="00EC14DE">
        <w:t>)</w:t>
      </w:r>
    </w:p>
    <w:p w14:paraId="4DD4FE67" w14:textId="77777777" w:rsidR="00D5376A" w:rsidRPr="00EC14DE" w:rsidRDefault="00D5376A" w:rsidP="007C594F">
      <w:pPr>
        <w:pStyle w:val="PreformattatoHTML"/>
        <w:widowControl w:val="0"/>
        <w:jc w:val="both"/>
        <w:rPr>
          <w:rFonts w:ascii="Times New Roman" w:hAnsi="Times New Roman" w:cs="Times New Roman"/>
          <w:sz w:val="22"/>
          <w:szCs w:val="22"/>
          <w:shd w:val="clear" w:color="auto" w:fill="FFFFFF"/>
        </w:rPr>
      </w:pPr>
      <w:r w:rsidRPr="00EC14DE">
        <w:rPr>
          <w:rFonts w:ascii="Times New Roman" w:hAnsi="Times New Roman" w:cs="Times New Roman"/>
          <w:sz w:val="22"/>
          <w:szCs w:val="22"/>
          <w:shd w:val="clear" w:color="auto" w:fill="FFFFFF"/>
        </w:rPr>
        <w:t>1. Al fine di promuovere e realizzare interventi per la salvaguardia e la valorizzazione della montagna, nonché misure di sostegno in favore dei Comuni totalmente e</w:t>
      </w:r>
      <w:r w:rsidRPr="00EC14DE">
        <w:rPr>
          <w:rFonts w:ascii="Times New Roman" w:eastAsia="Times New Roman" w:hAnsi="Times New Roman" w:cs="Times New Roman"/>
          <w:sz w:val="22"/>
          <w:szCs w:val="22"/>
        </w:rPr>
        <w:t xml:space="preserve"> parzialmente montani delle Regioni e delle Province autonome</w:t>
      </w:r>
      <w:r w:rsidR="00490B7A" w:rsidRPr="00EC14DE">
        <w:rPr>
          <w:rFonts w:ascii="Times New Roman" w:hAnsi="Times New Roman" w:cs="Times New Roman"/>
          <w:sz w:val="22"/>
          <w:szCs w:val="22"/>
          <w:shd w:val="clear" w:color="auto" w:fill="FFFFFF"/>
        </w:rPr>
        <w:t xml:space="preserve">, nello stato di previsione del Ministero dell’economia e delle finanze è istituito un fondo, da trasferire al bilancio autonomo della </w:t>
      </w:r>
      <w:r w:rsidRPr="00EC14DE">
        <w:rPr>
          <w:rFonts w:ascii="Times New Roman" w:hAnsi="Times New Roman" w:cs="Times New Roman"/>
          <w:sz w:val="22"/>
          <w:szCs w:val="22"/>
          <w:shd w:val="clear" w:color="auto" w:fill="FFFFFF"/>
        </w:rPr>
        <w:t>Presidenza del Consiglio dei Ministri – Dipartimento per gli affari regionali e le autonomie, denominato «</w:t>
      </w:r>
      <w:r w:rsidRPr="00EC14DE">
        <w:rPr>
          <w:rFonts w:ascii="Times New Roman" w:eastAsia="Times New Roman" w:hAnsi="Times New Roman" w:cs="Times New Roman"/>
          <w:bCs/>
          <w:sz w:val="22"/>
          <w:szCs w:val="22"/>
        </w:rPr>
        <w:t>Fondo per lo sviluppo delle montagne italiane</w:t>
      </w:r>
      <w:r w:rsidRPr="00EC14DE">
        <w:rPr>
          <w:rFonts w:ascii="Times New Roman" w:hAnsi="Times New Roman" w:cs="Times New Roman"/>
          <w:sz w:val="22"/>
          <w:szCs w:val="22"/>
          <w:shd w:val="clear" w:color="auto" w:fill="FFFFFF"/>
        </w:rPr>
        <w:t>», con una dotazione di 100 milioni di euro per l’anno 2022 e 200 milioni di euro a decorrere dall’anno 2023. In particolare, il Fondo è utilizzato per finanziare:</w:t>
      </w:r>
    </w:p>
    <w:p w14:paraId="7F308A58" w14:textId="77777777" w:rsidR="00D5376A" w:rsidRPr="00EC14DE" w:rsidRDefault="00D5376A" w:rsidP="007C594F">
      <w:pPr>
        <w:pStyle w:val="PreformattatoHTML"/>
        <w:widowControl w:val="0"/>
        <w:jc w:val="both"/>
        <w:rPr>
          <w:rFonts w:ascii="Times New Roman" w:eastAsia="Times New Roman" w:hAnsi="Times New Roman" w:cs="Times New Roman"/>
          <w:sz w:val="22"/>
          <w:szCs w:val="22"/>
        </w:rPr>
      </w:pPr>
      <w:r w:rsidRPr="00EC14DE">
        <w:rPr>
          <w:rFonts w:ascii="Times New Roman" w:hAnsi="Times New Roman" w:cs="Times New Roman"/>
          <w:sz w:val="22"/>
          <w:szCs w:val="22"/>
          <w:shd w:val="clear" w:color="auto" w:fill="FFFFFF"/>
        </w:rPr>
        <w:t xml:space="preserve">a) </w:t>
      </w:r>
      <w:r w:rsidRPr="00EC14DE">
        <w:rPr>
          <w:rFonts w:ascii="Times New Roman" w:hAnsi="Times New Roman" w:cs="Times New Roman"/>
          <w:sz w:val="22"/>
          <w:szCs w:val="22"/>
          <w:shd w:val="clear" w:color="auto" w:fill="FFFFFF"/>
          <w:lang w:eastAsia="en-US"/>
        </w:rPr>
        <w:t>interventi per la tutela e la promozione delle risorse ambientali dei territori montani;</w:t>
      </w:r>
    </w:p>
    <w:p w14:paraId="04386116" w14:textId="77777777" w:rsidR="00D5376A" w:rsidRPr="00EC14DE" w:rsidRDefault="00D5376A" w:rsidP="007C594F">
      <w:pPr>
        <w:pStyle w:val="provvr1"/>
        <w:widowControl w:val="0"/>
        <w:shd w:val="clear" w:color="auto" w:fill="FFFFFF"/>
        <w:tabs>
          <w:tab w:val="left" w:pos="621"/>
        </w:tabs>
        <w:spacing w:before="0" w:beforeAutospacing="0" w:after="0" w:afterAutospacing="0"/>
        <w:jc w:val="both"/>
        <w:textAlignment w:val="baseline"/>
        <w:rPr>
          <w:rFonts w:eastAsiaTheme="minorHAnsi"/>
          <w:sz w:val="22"/>
          <w:szCs w:val="22"/>
          <w:shd w:val="clear" w:color="auto" w:fill="FFFFFF"/>
          <w:lang w:eastAsia="en-US"/>
        </w:rPr>
      </w:pPr>
      <w:r w:rsidRPr="00EC14DE">
        <w:rPr>
          <w:rFonts w:eastAsiaTheme="minorHAnsi"/>
          <w:sz w:val="22"/>
          <w:szCs w:val="22"/>
          <w:shd w:val="clear" w:color="auto" w:fill="FFFFFF"/>
          <w:lang w:eastAsia="en-US"/>
        </w:rPr>
        <w:t>b) interventi che diffondano e valorizzino, anche attraverso opportune sinergie, le migliori iniziative in materia di tutela e valorizzazione delle qualità ambientali e delle potenzialità endogene proprie dell'habitat montano;</w:t>
      </w:r>
    </w:p>
    <w:p w14:paraId="01F13A13" w14:textId="77777777" w:rsidR="00D5376A" w:rsidRPr="00EC14DE" w:rsidRDefault="00D5376A" w:rsidP="007C594F">
      <w:pPr>
        <w:pStyle w:val="provvr1"/>
        <w:widowControl w:val="0"/>
        <w:shd w:val="clear" w:color="auto" w:fill="FFFFFF"/>
        <w:tabs>
          <w:tab w:val="left" w:pos="621"/>
        </w:tabs>
        <w:spacing w:before="0" w:beforeAutospacing="0" w:after="0" w:afterAutospacing="0"/>
        <w:jc w:val="both"/>
        <w:textAlignment w:val="baseline"/>
        <w:rPr>
          <w:rFonts w:eastAsiaTheme="minorHAnsi"/>
          <w:sz w:val="22"/>
          <w:szCs w:val="22"/>
          <w:shd w:val="clear" w:color="auto" w:fill="FFFFFF"/>
          <w:lang w:eastAsia="en-US"/>
        </w:rPr>
      </w:pPr>
      <w:r w:rsidRPr="00EC14DE">
        <w:rPr>
          <w:rFonts w:eastAsiaTheme="minorHAnsi"/>
          <w:sz w:val="22"/>
          <w:szCs w:val="22"/>
          <w:shd w:val="clear" w:color="auto" w:fill="FFFFFF"/>
          <w:lang w:eastAsia="en-US"/>
        </w:rPr>
        <w:t xml:space="preserve">c) attività di informazione e di comunicazione sui temi della montagna; </w:t>
      </w:r>
    </w:p>
    <w:p w14:paraId="1E4D9D68" w14:textId="77777777" w:rsidR="00D5376A" w:rsidRPr="00EC14DE" w:rsidRDefault="00D5376A" w:rsidP="007C594F">
      <w:pPr>
        <w:pStyle w:val="provvr1"/>
        <w:widowControl w:val="0"/>
        <w:shd w:val="clear" w:color="auto" w:fill="FFFFFF"/>
        <w:tabs>
          <w:tab w:val="left" w:pos="621"/>
        </w:tabs>
        <w:spacing w:before="0" w:beforeAutospacing="0" w:after="0" w:afterAutospacing="0"/>
        <w:jc w:val="both"/>
        <w:textAlignment w:val="baseline"/>
        <w:rPr>
          <w:rFonts w:eastAsiaTheme="minorHAnsi"/>
          <w:sz w:val="22"/>
          <w:szCs w:val="22"/>
          <w:shd w:val="clear" w:color="auto" w:fill="FFFFFF"/>
          <w:lang w:eastAsia="en-US"/>
        </w:rPr>
      </w:pPr>
      <w:r w:rsidRPr="00EC14DE">
        <w:rPr>
          <w:rFonts w:eastAsiaTheme="minorHAnsi"/>
          <w:sz w:val="22"/>
          <w:szCs w:val="22"/>
          <w:shd w:val="clear" w:color="auto" w:fill="FFFFFF"/>
          <w:lang w:eastAsia="en-US"/>
        </w:rPr>
        <w:t>d) interventi di carattere socio-economico a favore delle popolazioni residenti nelle aree montane;</w:t>
      </w:r>
    </w:p>
    <w:p w14:paraId="229C6299" w14:textId="77777777" w:rsidR="00D5376A" w:rsidRPr="00EC14DE" w:rsidRDefault="00D5376A" w:rsidP="007C594F">
      <w:pPr>
        <w:pStyle w:val="provvr1"/>
        <w:widowControl w:val="0"/>
        <w:shd w:val="clear" w:color="auto" w:fill="FFFFFF"/>
        <w:tabs>
          <w:tab w:val="left" w:pos="621"/>
        </w:tabs>
        <w:spacing w:before="0" w:beforeAutospacing="0" w:after="0" w:afterAutospacing="0"/>
        <w:jc w:val="both"/>
        <w:textAlignment w:val="baseline"/>
        <w:rPr>
          <w:rFonts w:eastAsiaTheme="minorHAnsi"/>
          <w:sz w:val="22"/>
          <w:szCs w:val="22"/>
          <w:shd w:val="clear" w:color="auto" w:fill="FFFFFF"/>
          <w:lang w:eastAsia="en-US"/>
        </w:rPr>
      </w:pPr>
      <w:r w:rsidRPr="00EC14DE">
        <w:rPr>
          <w:rFonts w:eastAsiaTheme="minorHAnsi"/>
          <w:sz w:val="22"/>
          <w:szCs w:val="22"/>
          <w:shd w:val="clear" w:color="auto" w:fill="FFFFFF"/>
          <w:lang w:eastAsia="en-US"/>
        </w:rPr>
        <w:t>e) progetti finalizzati alla salvaguardia dell’ambiente e dello sviluppo delle attività agro-silvo-pastorali;</w:t>
      </w:r>
    </w:p>
    <w:p w14:paraId="647F3A75" w14:textId="77777777" w:rsidR="00D5376A" w:rsidRPr="00EC14DE" w:rsidRDefault="00D5376A" w:rsidP="007C594F">
      <w:pPr>
        <w:pStyle w:val="provvr1"/>
        <w:widowControl w:val="0"/>
        <w:shd w:val="clear" w:color="auto" w:fill="FFFFFF"/>
        <w:tabs>
          <w:tab w:val="left" w:pos="621"/>
        </w:tabs>
        <w:spacing w:before="0" w:beforeAutospacing="0" w:after="0" w:afterAutospacing="0"/>
        <w:jc w:val="both"/>
        <w:textAlignment w:val="baseline"/>
        <w:rPr>
          <w:rFonts w:eastAsiaTheme="minorHAnsi"/>
          <w:sz w:val="22"/>
          <w:szCs w:val="22"/>
          <w:shd w:val="clear" w:color="auto" w:fill="FFFFFF"/>
          <w:lang w:eastAsia="en-US"/>
        </w:rPr>
      </w:pPr>
      <w:r w:rsidRPr="00EC14DE">
        <w:rPr>
          <w:rFonts w:eastAsiaTheme="minorHAnsi"/>
          <w:sz w:val="22"/>
          <w:szCs w:val="22"/>
          <w:shd w:val="clear" w:color="auto" w:fill="FFFFFF"/>
          <w:lang w:eastAsia="en-US"/>
        </w:rPr>
        <w:t>f) iniziative volte a ridurre i fenomeni di spopolamento.</w:t>
      </w:r>
    </w:p>
    <w:p w14:paraId="7FF28127" w14:textId="77777777" w:rsidR="00D5376A" w:rsidRPr="00EC14DE" w:rsidRDefault="00D5376A" w:rsidP="007C594F">
      <w:pPr>
        <w:widowControl w:val="0"/>
        <w:rPr>
          <w:rFonts w:cs="Times New Roman"/>
          <w:shd w:val="clear" w:color="auto" w:fill="FFFFFF"/>
        </w:rPr>
      </w:pPr>
      <w:r w:rsidRPr="00EC14DE">
        <w:rPr>
          <w:rFonts w:cs="Times New Roman"/>
          <w:shd w:val="clear" w:color="auto" w:fill="FFFFFF"/>
        </w:rPr>
        <w:t>2. Il Ministro per gli affari regi</w:t>
      </w:r>
      <w:r w:rsidR="00D12F29" w:rsidRPr="00EC14DE">
        <w:rPr>
          <w:rFonts w:cs="Times New Roman"/>
          <w:shd w:val="clear" w:color="auto" w:fill="FFFFFF"/>
        </w:rPr>
        <w:t xml:space="preserve">onali e le autonomie si avvale </w:t>
      </w:r>
      <w:r w:rsidRPr="00EC14DE">
        <w:rPr>
          <w:rFonts w:cs="Times New Roman"/>
          <w:shd w:val="clear" w:color="auto" w:fill="FFFFFF"/>
        </w:rPr>
        <w:t>del Fondo per lo sviluppo delle montagne italiane per finanziare ulteriori iniziative volte a sostenere, a realizzare e a promuovere politiche a favore della montagna.</w:t>
      </w:r>
    </w:p>
    <w:p w14:paraId="1551AF87" w14:textId="77777777" w:rsidR="00D5376A" w:rsidRPr="00EC14DE" w:rsidRDefault="00D5376A" w:rsidP="007C594F">
      <w:pPr>
        <w:widowControl w:val="0"/>
        <w:rPr>
          <w:rFonts w:cs="Times New Roman"/>
          <w:shd w:val="clear" w:color="auto" w:fill="FFFFFF"/>
        </w:rPr>
      </w:pPr>
      <w:r w:rsidRPr="00EC14DE">
        <w:rPr>
          <w:rFonts w:cs="Times New Roman"/>
          <w:shd w:val="clear" w:color="auto" w:fill="FFFFFF"/>
        </w:rPr>
        <w:t>3. Gli stanziamenti del Fondo per lo sviluppo delle montagne italiane sono ripartiti, quanto alla quota destinata agli interventi di competenza statale e al finanziamento delle campagne istituzionali sui temi della montagna, con decreto del Ministro per gli affari regionali e le autonomie; per gli interventi di competenza delle Regioni e degli enti locali, con decreto del Ministro per gli affari regionali e le autonomie, d’intesa con la Conferenza unificata di cui all'articolo </w:t>
      </w:r>
      <w:hyperlink r:id="rId25" w:anchor="id=10LX0000114903ART9,__m=document" w:history="1">
        <w:r w:rsidRPr="00EC14DE">
          <w:rPr>
            <w:rFonts w:cs="Times New Roman"/>
          </w:rPr>
          <w:t>8</w:t>
        </w:r>
      </w:hyperlink>
      <w:r w:rsidRPr="00EC14DE">
        <w:rPr>
          <w:rFonts w:cs="Times New Roman"/>
          <w:shd w:val="clear" w:color="auto" w:fill="FFFFFF"/>
        </w:rPr>
        <w:t> del </w:t>
      </w:r>
      <w:hyperlink r:id="rId26" w:anchor="id=10LX0000114903ART0,__m=document" w:history="1">
        <w:r w:rsidRPr="00EC14DE">
          <w:rPr>
            <w:rFonts w:cs="Times New Roman"/>
          </w:rPr>
          <w:t>decreto legislativo 28 agosto 1997, n. 281</w:t>
        </w:r>
      </w:hyperlink>
      <w:r w:rsidRPr="00EC14DE">
        <w:rPr>
          <w:rFonts w:cs="Times New Roman"/>
          <w:shd w:val="clear" w:color="auto" w:fill="FFFFFF"/>
        </w:rPr>
        <w:t>.</w:t>
      </w:r>
    </w:p>
    <w:p w14:paraId="79C79958" w14:textId="77777777" w:rsidR="00D5376A" w:rsidRPr="00EC14DE" w:rsidRDefault="00D5376A" w:rsidP="007C594F">
      <w:pPr>
        <w:widowControl w:val="0"/>
        <w:rPr>
          <w:rFonts w:cs="Times New Roman"/>
        </w:rPr>
      </w:pPr>
      <w:r w:rsidRPr="00EC14DE">
        <w:rPr>
          <w:rFonts w:eastAsia="Times New Roman" w:cs="Times New Roman"/>
          <w:bCs/>
          <w:lang w:eastAsia="it-IT"/>
        </w:rPr>
        <w:t>4. Il Fondo nazionale per la montagna</w:t>
      </w:r>
      <w:r w:rsidRPr="00EC14DE">
        <w:rPr>
          <w:rFonts w:eastAsia="Times New Roman" w:cs="Times New Roman"/>
          <w:lang w:eastAsia="it-IT"/>
        </w:rPr>
        <w:t xml:space="preserve"> di cui all’articolo 2 della </w:t>
      </w:r>
      <w:hyperlink r:id="rId27" w:history="1">
        <w:r w:rsidRPr="00EC14DE">
          <w:rPr>
            <w:rFonts w:eastAsia="Times New Roman" w:cs="Times New Roman"/>
            <w:lang w:eastAsia="it-IT"/>
          </w:rPr>
          <w:t>legge 31 gennaio 1994, n. 97</w:t>
        </w:r>
      </w:hyperlink>
      <w:r w:rsidRPr="00EC14DE">
        <w:rPr>
          <w:rFonts w:eastAsia="Times New Roman" w:cs="Times New Roman"/>
          <w:lang w:eastAsia="it-IT"/>
        </w:rPr>
        <w:t xml:space="preserve"> e il </w:t>
      </w:r>
      <w:r w:rsidRPr="00EC14DE">
        <w:rPr>
          <w:rFonts w:cs="Times New Roman"/>
          <w:shd w:val="clear" w:color="auto" w:fill="FFFFFF"/>
        </w:rPr>
        <w:t>Fondo integrativo per i comuni montani di cui alla </w:t>
      </w:r>
      <w:hyperlink r:id="rId28" w:history="1">
        <w:r w:rsidRPr="00EC14DE">
          <w:rPr>
            <w:rStyle w:val="Collegamentoipertestuale"/>
            <w:rFonts w:cs="Times New Roman"/>
            <w:color w:val="auto"/>
            <w:u w:val="none"/>
            <w:shd w:val="clear" w:color="auto" w:fill="FFFFFF"/>
          </w:rPr>
          <w:t>legge 24 dicembre 2012 n. 228, art. 1, commi 319, 320, 321</w:t>
        </w:r>
      </w:hyperlink>
      <w:r w:rsidRPr="00EC14DE">
        <w:rPr>
          <w:rFonts w:cs="Times New Roman"/>
        </w:rPr>
        <w:t>, confluiscono nel Fondo per lo s</w:t>
      </w:r>
      <w:r w:rsidR="00490B7A" w:rsidRPr="00EC14DE">
        <w:rPr>
          <w:rFonts w:cs="Times New Roman"/>
        </w:rPr>
        <w:t>viluppo delle montagne italiane di cui al comma 1.</w:t>
      </w:r>
    </w:p>
    <w:p w14:paraId="7952B3DC" w14:textId="77777777" w:rsidR="00385329" w:rsidRPr="00EC14DE" w:rsidRDefault="006E580D" w:rsidP="006E580D">
      <w:pPr>
        <w:pStyle w:val="Titolo3"/>
        <w:rPr>
          <w:rFonts w:eastAsia="Calibri"/>
        </w:rPr>
      </w:pPr>
      <w:r w:rsidRPr="00EC14DE">
        <w:t xml:space="preserve">ART. </w:t>
      </w:r>
      <w:r w:rsidRPr="00EC14DE">
        <w:fldChar w:fldCharType="begin"/>
      </w:r>
      <w:r w:rsidRPr="00EC14DE">
        <w:instrText xml:space="preserve"> AUTONUM  \* Arabic </w:instrText>
      </w:r>
      <w:r w:rsidRPr="00EC14DE">
        <w:fldChar w:fldCharType="end"/>
      </w:r>
      <w:r w:rsidRPr="00EC14DE">
        <w:br/>
      </w:r>
      <w:r w:rsidR="00385329" w:rsidRPr="00EC14DE">
        <w:rPr>
          <w:rFonts w:eastAsia="Calibri"/>
        </w:rPr>
        <w:t>(Rinegoziazione anticipazioni di liquidità Enti territoriali)</w:t>
      </w:r>
    </w:p>
    <w:p w14:paraId="74CAF887" w14:textId="77777777" w:rsidR="00385329" w:rsidRPr="00EC14DE" w:rsidRDefault="006E580D" w:rsidP="006E580D">
      <w:pPr>
        <w:spacing w:after="160" w:line="256" w:lineRule="auto"/>
        <w:contextualSpacing/>
        <w:rPr>
          <w:rFonts w:eastAsia="Times New Roman" w:cs="Times New Roman"/>
          <w:lang w:eastAsia="it-IT"/>
        </w:rPr>
      </w:pPr>
      <w:r w:rsidRPr="00EC14DE">
        <w:rPr>
          <w:rFonts w:eastAsia="Calibri" w:cs="Times New Roman"/>
        </w:rPr>
        <w:t xml:space="preserve">1. </w:t>
      </w:r>
      <w:r w:rsidR="00385329" w:rsidRPr="00EC14DE">
        <w:rPr>
          <w:rFonts w:eastAsia="Calibri" w:cs="Times New Roman"/>
        </w:rPr>
        <w:t xml:space="preserve">Le regioni e gli enti locali che hanno contratto con il Ministero dell’economia e delle finanze anticipazioni di liquidità ad un tasso di interesse pari o superiore al 3 per cento, per il pagamento dei debiti certi, liquidi ed esigibili, ai sensi degli articoli 1, 2 e 3 del </w:t>
      </w:r>
      <w:r w:rsidR="00385329" w:rsidRPr="00EC14DE">
        <w:rPr>
          <w:rFonts w:eastAsia="Times New Roman" w:cs="Times New Roman"/>
          <w:lang w:eastAsia="it-IT"/>
        </w:rPr>
        <w:t xml:space="preserve">decreto-legge 8 aprile 2013, n. 35,  convertito,  con  modificazioni, dalla legge 6 giugno 2013, n. 64, dell’articolo 13 del decreto-legge </w:t>
      </w:r>
      <w:r w:rsidR="00385329" w:rsidRPr="00EC14DE">
        <w:rPr>
          <w:rFonts w:eastAsia="Calibri" w:cs="Times New Roman"/>
        </w:rPr>
        <w:t xml:space="preserve">31 agosto 2013, n. 102, convertito, con modificazioni, dalla legge 28 ottobre 2013, n. 124, </w:t>
      </w:r>
      <w:r w:rsidR="00385329" w:rsidRPr="00EC14DE">
        <w:rPr>
          <w:rFonts w:eastAsia="Times New Roman" w:cs="Times New Roman"/>
          <w:lang w:eastAsia="it-IT"/>
        </w:rPr>
        <w:t>possono richiedere che i relativi piani di ammortamento siano rinegoziati secondo i seguenti termini e condizioni:</w:t>
      </w:r>
    </w:p>
    <w:p w14:paraId="29AD4BC1" w14:textId="77777777" w:rsidR="00385329" w:rsidRPr="00EC14DE" w:rsidRDefault="00385329" w:rsidP="000831E3">
      <w:pPr>
        <w:numPr>
          <w:ilvl w:val="0"/>
          <w:numId w:val="68"/>
        </w:numPr>
        <w:spacing w:after="160" w:line="256" w:lineRule="auto"/>
        <w:ind w:left="1134" w:hanging="425"/>
        <w:contextualSpacing/>
        <w:rPr>
          <w:rFonts w:eastAsia="Times New Roman" w:cs="Times New Roman"/>
          <w:lang w:eastAsia="it-IT"/>
        </w:rPr>
      </w:pPr>
      <w:r w:rsidRPr="00EC14DE">
        <w:rPr>
          <w:rFonts w:eastAsia="Times New Roman" w:cs="Times New Roman"/>
          <w:lang w:eastAsia="it-IT"/>
        </w:rPr>
        <w:t>decorrenza della modifica dei piani di ammortamento dal 1° gennaio 2022 e rimborso in trenta anni mediante rate annuali costanti, ad eccezione della rata in scadenza nell’anno 2022 di cui al seguente punto c), comprensive di capitale ed interessi, ferme restando le date di pagamento previste nei contratti di anticipazione originari;</w:t>
      </w:r>
    </w:p>
    <w:p w14:paraId="783FF690" w14:textId="77777777" w:rsidR="00385329" w:rsidRPr="00EC14DE" w:rsidRDefault="00385329" w:rsidP="000831E3">
      <w:pPr>
        <w:numPr>
          <w:ilvl w:val="0"/>
          <w:numId w:val="68"/>
        </w:numPr>
        <w:spacing w:after="160" w:line="256" w:lineRule="auto"/>
        <w:ind w:left="1134" w:hanging="425"/>
        <w:contextualSpacing/>
        <w:rPr>
          <w:rFonts w:eastAsia="Times New Roman" w:cs="Times New Roman"/>
          <w:lang w:eastAsia="it-IT"/>
        </w:rPr>
      </w:pPr>
      <w:r w:rsidRPr="00EC14DE">
        <w:rPr>
          <w:rFonts w:eastAsia="Times New Roman" w:cs="Times New Roman"/>
          <w:lang w:eastAsia="it-IT"/>
        </w:rPr>
        <w:t xml:space="preserve">tasso di interesse applicabile alla rinegoziazione, a decorrere dalla predetta data del 1° gennaio 2022, pari al rendimento di mercato dei Buoni Poliennali del Tesoro con la durata finanziaria più vicina a quella dell’anticipazione di liquidità, come rilevato sulla piattaforma di negoziazione MTS sulla base della quotazione del quinto giorno lavorativo successivo alla pubblicazione della presente legge sulla Gazzetta Ufficiale della Repubblica Italiana. Il tasso di interesse viene determinato dal Ministero dell’economia e delle finanze - Dipartimento del Tesoro e pubblicato sul proprio sito internet; </w:t>
      </w:r>
    </w:p>
    <w:p w14:paraId="48E2EF25" w14:textId="77777777" w:rsidR="00385329" w:rsidRPr="00EC14DE" w:rsidRDefault="00385329" w:rsidP="000831E3">
      <w:pPr>
        <w:numPr>
          <w:ilvl w:val="0"/>
          <w:numId w:val="68"/>
        </w:numPr>
        <w:spacing w:after="160" w:line="256" w:lineRule="auto"/>
        <w:ind w:left="1134" w:hanging="425"/>
        <w:contextualSpacing/>
        <w:rPr>
          <w:rFonts w:eastAsia="Times New Roman" w:cs="Times New Roman"/>
          <w:lang w:eastAsia="it-IT"/>
        </w:rPr>
      </w:pPr>
      <w:r w:rsidRPr="00EC14DE">
        <w:rPr>
          <w:rFonts w:eastAsia="Times New Roman" w:cs="Times New Roman"/>
          <w:lang w:eastAsia="it-IT"/>
        </w:rPr>
        <w:t xml:space="preserve">la rata in scadenza nel 2022 è calcolata, per la quota capitale, secondo il piano d’ammortamento modificato risultante dall’operazione di rinegoziazione. La relativa quota interessi è calcolata, con riferimento al periodo intercorrente tra il giorno successivo alla data di pagamento della rata annuale in scadenza nel 2021 e il 31 dicembre 2021 incluso, sulla base del tasso di interesse stabilito nel piano di ammortamento vigente prima della rinegoziazione e, con riferimento al periodo intercorrente tra  il 1° gennaio 2022 incluso e la data di pagamento della rata annuale in scadenza nel 2022 inclusa, sulla base del tasso di interesse di cui alla precedente lettera b). </w:t>
      </w:r>
    </w:p>
    <w:p w14:paraId="44FD2998" w14:textId="77777777" w:rsidR="00385329" w:rsidRPr="00EC14DE" w:rsidRDefault="00385329" w:rsidP="000831E3">
      <w:pPr>
        <w:numPr>
          <w:ilvl w:val="0"/>
          <w:numId w:val="68"/>
        </w:numPr>
        <w:spacing w:after="160" w:line="256" w:lineRule="auto"/>
        <w:ind w:left="1134" w:hanging="425"/>
        <w:contextualSpacing/>
        <w:rPr>
          <w:rFonts w:eastAsia="Calibri" w:cs="Times New Roman"/>
        </w:rPr>
      </w:pPr>
      <w:r w:rsidRPr="00EC14DE">
        <w:rPr>
          <w:rFonts w:eastAsia="Calibri" w:cs="Times New Roman"/>
        </w:rPr>
        <w:t xml:space="preserve">con riferimento alle anticipazioni concesse in favore delle </w:t>
      </w:r>
      <w:r w:rsidRPr="00EC14DE">
        <w:rPr>
          <w:rFonts w:eastAsia="Calibri" w:cs="Times New Roman"/>
          <w:iCs/>
        </w:rPr>
        <w:t xml:space="preserve">regioni colpite dal sisma del 24 agosto 2016, in relazione alle quali è prevista la sospensione fino al 2022 della quota capitale annuale, ai sensi dell'articolo 44, comma 4, del decreto-legge 17 ottobre 2016, n. 189, convertito con modificazioni dalla legge 15 dicembre 2016, n. 229, i piani di ammortamento risultanti dall’operazione di rinegoziazione prevedono il pagamento nell’anno 2022 della sola quota interessi. La relativa quota capitale, come determinata ai sensi della precedente lettera a), </w:t>
      </w:r>
      <w:r w:rsidRPr="00EC14DE">
        <w:rPr>
          <w:rFonts w:eastAsia="Calibri" w:cs="Times New Roman"/>
        </w:rPr>
        <w:t>è rimborsata in quote annuali di pari importo negli anni di ammortamento restanti, a decorrere dal 2023. Qualora l’importo della quota interessi in scadenza nel 2022, risultante dal piano di ammortamento derivante dalla rinegoziazione, sia maggiore di quello della quota interessi risultante dal piano di ammortamento antecedente la rinegoziazione, la regione versa quest’ultima quota interessi.</w:t>
      </w:r>
    </w:p>
    <w:p w14:paraId="3F318D2D" w14:textId="77777777" w:rsidR="00385329" w:rsidRPr="00EC14DE" w:rsidRDefault="006E580D" w:rsidP="006E580D">
      <w:pPr>
        <w:spacing w:after="160" w:line="256" w:lineRule="auto"/>
        <w:contextualSpacing/>
        <w:rPr>
          <w:rFonts w:eastAsia="Calibri" w:cs="Times New Roman"/>
        </w:rPr>
      </w:pPr>
      <w:r w:rsidRPr="00EC14DE">
        <w:rPr>
          <w:rFonts w:eastAsia="Calibri" w:cs="Times New Roman"/>
        </w:rPr>
        <w:t xml:space="preserve">2. </w:t>
      </w:r>
      <w:r w:rsidR="00385329" w:rsidRPr="00EC14DE">
        <w:rPr>
          <w:rFonts w:eastAsia="Calibri" w:cs="Times New Roman"/>
        </w:rPr>
        <w:t xml:space="preserve">Con riferimento alle operazioni di rinegoziazione delle anticipazioni di liquidità concesse in favore degli enti locali, al fine di garantire la gestione della relativa operatività, il Ministero dell'economia e delle finanze stipula con la Cassa depositi e prestiti S.p.A., entro 30 giorni dall’entrata in vigore della presente legge, un atto aggiuntivo all’addendum di cui all’art. 1, comma 11, del decreto-legge 8 aprile 2013, n. 35, convertito, con modificazioni, dalla legge 6 giugno 2013, n. 64. Nell'atto aggiuntivo all’addendum sono definiti, tra l'altro, criteri e modalità per il perfezionamento delle predette operazioni di rinegoziazione, da effettuarsi secondo un contratto tipo, approvato con decreto del Direttore generale del Tesoro e pubblicato sui siti internet del Ministero dell'economia e delle finanze e della Cassa depositi e prestiti S.p.A. L'atto aggiuntivo all’addendum è pubblicato sui siti internet del Ministero dell'economia e delle finanze e della Cassa depositi e prestiti S.p.A. </w:t>
      </w:r>
    </w:p>
    <w:p w14:paraId="6B01D2D5" w14:textId="77777777" w:rsidR="00385329" w:rsidRPr="00EC14DE" w:rsidRDefault="006E580D" w:rsidP="006E580D">
      <w:pPr>
        <w:spacing w:after="160" w:line="256" w:lineRule="auto"/>
        <w:contextualSpacing/>
        <w:rPr>
          <w:rFonts w:eastAsia="Calibri" w:cs="Times New Roman"/>
        </w:rPr>
      </w:pPr>
      <w:r w:rsidRPr="00EC14DE">
        <w:rPr>
          <w:rFonts w:eastAsia="Calibri" w:cs="Times New Roman"/>
        </w:rPr>
        <w:t xml:space="preserve">3. </w:t>
      </w:r>
      <w:r w:rsidR="00385329" w:rsidRPr="00EC14DE">
        <w:rPr>
          <w:rFonts w:eastAsia="Calibri" w:cs="Times New Roman"/>
        </w:rPr>
        <w:t xml:space="preserve">Le richieste di rinegoziazione delle anticipazioni concesse in favore degli enti locali possono essere trasmesse, dagli enti locali medesimi alla Cassa depositi e prestiti S.p.A., nel periodo intercorrente tra il [14] febbraio 2022 e il [18] marzo 2022, secondo le modalità stabilite nell'atto aggiuntivo di cui al comma 2, previa deliberazione autorizzativa della Giunta, anche nel corso dell'esercizio provvisorio di cui all'articolo 163 del decreto legislativo 18 agosto 2000, n. 267, fermo restando l'obbligo di provvedere alle relative iscrizioni nel bilancio di previsione.  I contratti relativi alle operazioni di rinegoziazione sono perfezionati entro il [28] aprile 2022. Nel caso in cui il perfezionamento dell’operazione di rinegoziazione sia successivo alla data di pagamento della rata annuale in scadenza nel 2022 prevista dai contratti di anticipazione originari, gli enti locali devono corrispondere tale rata nella misura prevista dai contratti originari. L’importo pari alla differenza, positiva o negativa, tra la rata di ammortamento corrisposta e quella di cui al piano di ammortamento risultante dall’operazione di rinegoziazione, in scadenza nel medesimo anno, è regolato entro il 31 dicembre 2022 con le modalità previste nell’atto aggiuntivo di cui al comma 2. </w:t>
      </w:r>
    </w:p>
    <w:p w14:paraId="40022D44" w14:textId="77777777" w:rsidR="00385329" w:rsidRPr="00EC14DE" w:rsidRDefault="006E580D" w:rsidP="006E580D">
      <w:pPr>
        <w:spacing w:after="160" w:line="256" w:lineRule="auto"/>
        <w:contextualSpacing/>
        <w:rPr>
          <w:rFonts w:eastAsia="Calibri" w:cs="Times New Roman"/>
        </w:rPr>
      </w:pPr>
      <w:r w:rsidRPr="00EC14DE">
        <w:rPr>
          <w:rFonts w:eastAsia="Calibri" w:cs="Times New Roman"/>
        </w:rPr>
        <w:t xml:space="preserve">4. </w:t>
      </w:r>
      <w:r w:rsidR="00385329" w:rsidRPr="00EC14DE">
        <w:rPr>
          <w:rFonts w:eastAsia="Calibri" w:cs="Times New Roman"/>
        </w:rPr>
        <w:t>Per le attività svolte da Cassa depositi e prestiti S.p.A. oggetto dell’atto aggiuntivo di cui al comma 2 è autorizzata la spesa complessiva di [300.000] euro per l'anno 2022 cui si provvede ai sensi della presente legge.</w:t>
      </w:r>
    </w:p>
    <w:p w14:paraId="2E8F5528" w14:textId="77777777" w:rsidR="00385329" w:rsidRPr="00EC14DE" w:rsidRDefault="006E580D" w:rsidP="006E580D">
      <w:pPr>
        <w:spacing w:after="160" w:line="256" w:lineRule="auto"/>
        <w:contextualSpacing/>
        <w:rPr>
          <w:rFonts w:eastAsia="Calibri" w:cs="Times New Roman"/>
        </w:rPr>
      </w:pPr>
      <w:r w:rsidRPr="00EC14DE">
        <w:rPr>
          <w:rFonts w:eastAsia="Calibri" w:cs="Times New Roman"/>
        </w:rPr>
        <w:t xml:space="preserve">5. </w:t>
      </w:r>
      <w:r w:rsidR="00385329" w:rsidRPr="00EC14DE">
        <w:rPr>
          <w:rFonts w:eastAsia="Calibri" w:cs="Times New Roman"/>
        </w:rPr>
        <w:t>Con riferimento alle operazioni di rinegoziazione delle anticipazioni di liquidità stipulate dalle regioni con il Ministero dell’economia e delle finanze – Dipartimento del Tesoro-Direzione Seconda, le richieste di rinegoziazione potranno essere effettuate dalle regioni medesime mediante domanda a firma congiunta del presidente e del responsabile finanziario, da trasmettere entro il 31 gennaio 2022, anche nel corso dell'esercizio provvisorio di cui all'articolo 43 del decreto legislativo 23 giugno 2011, n. 118, fermo restando l'obbligo di provvedere alle relative iscrizioni nel bilancio di previsione. Le operazioni di rinegoziazione sono perfezionate mediante la stipula, per ciascuna regione, di un unico atto modificativo dei contratti originari relativi alla concessione di una o più anticipazioni di liquidità, al quale sono allegati i nuovi piani di ammortamento relativi alle singole anticipazioni di liquidità concesse. Nel caso in cui la rata dell’anno 2022 abbia scadenza anteriore rispetto al perfezionamento dell’atto modificativo, le regioni che abbiano fatto domanda di rinegoziazione corrispondono la detta rata del 2022 sulla base del piano di ammortamento derivante dalla rinegoziazione medesima.</w:t>
      </w:r>
    </w:p>
    <w:p w14:paraId="4BC2B600" w14:textId="77777777" w:rsidR="00385329" w:rsidRPr="00EC14DE" w:rsidRDefault="006E580D" w:rsidP="006E580D">
      <w:pPr>
        <w:spacing w:after="160" w:line="257" w:lineRule="auto"/>
        <w:contextualSpacing/>
        <w:rPr>
          <w:rFonts w:eastAsia="Times New Roman" w:cs="Times New Roman"/>
          <w:lang w:eastAsia="it-IT"/>
        </w:rPr>
      </w:pPr>
      <w:r w:rsidRPr="00EC14DE">
        <w:rPr>
          <w:rFonts w:eastAsia="Calibri" w:cs="Times New Roman"/>
        </w:rPr>
        <w:t xml:space="preserve">6. </w:t>
      </w:r>
      <w:r w:rsidR="00385329" w:rsidRPr="00EC14DE">
        <w:rPr>
          <w:rFonts w:eastAsia="Calibri" w:cs="Times New Roman"/>
        </w:rPr>
        <w:t xml:space="preserve">Gli atti modificativi mediante i quali sono perfezionate le operazioni di rinegoziazione di cui al comma 1 non costituiscono novazione dei contratti originari di concessione delle anticipazioni di liquidità.  Restano pertanto ferme, per quanto non espressamente modificato nei suddetti atti, tutti i termini e le condizioni previste nei medesimi contratti originari. </w:t>
      </w:r>
    </w:p>
    <w:p w14:paraId="07CCE902" w14:textId="77777777" w:rsidR="00385329" w:rsidRPr="00EC14DE" w:rsidRDefault="006E580D" w:rsidP="006E580D">
      <w:pPr>
        <w:spacing w:after="160" w:line="259" w:lineRule="auto"/>
        <w:contextualSpacing/>
        <w:rPr>
          <w:rFonts w:eastAsia="Times New Roman" w:cs="Times New Roman"/>
          <w:lang w:eastAsia="it-IT"/>
        </w:rPr>
      </w:pPr>
      <w:bookmarkStart w:id="123" w:name="_Hlk85121868"/>
      <w:r w:rsidRPr="00EC14DE">
        <w:rPr>
          <w:rFonts w:eastAsia="Times New Roman" w:cs="Times New Roman"/>
          <w:lang w:eastAsia="it-IT"/>
        </w:rPr>
        <w:t xml:space="preserve">7. </w:t>
      </w:r>
      <w:r w:rsidR="00385329" w:rsidRPr="00EC14DE">
        <w:rPr>
          <w:rFonts w:eastAsia="Times New Roman" w:cs="Times New Roman"/>
          <w:lang w:eastAsia="it-IT"/>
        </w:rPr>
        <w:t>All’articolo 1 della legge 23 dicembre 2014, n. 190 sono apportate le seguenti modifiche:</w:t>
      </w:r>
    </w:p>
    <w:p w14:paraId="5B139E62" w14:textId="77777777" w:rsidR="00385329" w:rsidRPr="00EC14DE" w:rsidRDefault="006E580D" w:rsidP="006E580D">
      <w:pPr>
        <w:spacing w:after="160" w:line="259" w:lineRule="auto"/>
        <w:contextualSpacing/>
        <w:rPr>
          <w:rFonts w:eastAsia="Times New Roman" w:cs="Times New Roman"/>
          <w:lang w:eastAsia="it-IT"/>
        </w:rPr>
      </w:pPr>
      <w:r w:rsidRPr="00EC14DE">
        <w:rPr>
          <w:rFonts w:eastAsia="Times New Roman" w:cs="Times New Roman"/>
          <w:lang w:eastAsia="it-IT"/>
        </w:rPr>
        <w:t xml:space="preserve">a) </w:t>
      </w:r>
      <w:r w:rsidR="00385329" w:rsidRPr="00EC14DE">
        <w:rPr>
          <w:rFonts w:eastAsia="Times New Roman" w:cs="Times New Roman"/>
          <w:lang w:eastAsia="it-IT"/>
        </w:rPr>
        <w:t>al comma 456 le parole “fino all'esercizio 2045” sono sostituite dalle seguenti “fino alla chiusura della gestione commissariale di cui al comma 452”;</w:t>
      </w:r>
    </w:p>
    <w:p w14:paraId="1AAFF955" w14:textId="77777777" w:rsidR="00385329" w:rsidRPr="00EC14DE" w:rsidRDefault="006E580D" w:rsidP="006E580D">
      <w:pPr>
        <w:spacing w:after="160" w:line="259" w:lineRule="auto"/>
        <w:contextualSpacing/>
        <w:rPr>
          <w:rFonts w:eastAsia="Times New Roman" w:cs="Times New Roman"/>
          <w:lang w:eastAsia="it-IT"/>
        </w:rPr>
      </w:pPr>
      <w:r w:rsidRPr="00EC14DE">
        <w:rPr>
          <w:rFonts w:eastAsia="Times New Roman" w:cs="Times New Roman"/>
          <w:lang w:eastAsia="it-IT"/>
        </w:rPr>
        <w:t xml:space="preserve">b) </w:t>
      </w:r>
      <w:r w:rsidR="00385329" w:rsidRPr="00EC14DE">
        <w:rPr>
          <w:rFonts w:eastAsia="Times New Roman" w:cs="Times New Roman"/>
          <w:lang w:eastAsia="it-IT"/>
        </w:rPr>
        <w:t>il comma 458 è sostituito dal seguente " La gestione commissariale di cui al comma 452 è chiusa a decorrere dal 1 gennaio 2022 quando risultino pagati tutti i debiti posti a suo carico ai sensi della lettera a) del comma 454. Alla chiusura della gestione commissariale la Regione Piemonte subentra nei rapporti passivi assunti dalla medesima nei confronti dello Stato, provvedendo direttamente al pagamento dei debiti relativi alle anticipazioni di liquidità, da contabilizzare nel rispetto dell'art. 1, commi 692 e seguenti, della legge 8 dicembre 2015, n. 208.   Ai fini della chiusura della contabilità speciale di cui al comma 453:</w:t>
      </w:r>
    </w:p>
    <w:p w14:paraId="6BFD02A6" w14:textId="77777777" w:rsidR="00385329" w:rsidRPr="00EC14DE" w:rsidRDefault="006E580D" w:rsidP="006E580D">
      <w:pPr>
        <w:spacing w:after="160" w:line="259" w:lineRule="auto"/>
        <w:contextualSpacing/>
        <w:rPr>
          <w:rFonts w:eastAsia="Times New Roman" w:cs="Times New Roman"/>
          <w:lang w:eastAsia="it-IT"/>
        </w:rPr>
      </w:pPr>
      <w:r w:rsidRPr="00EC14DE">
        <w:rPr>
          <w:rFonts w:eastAsia="Times New Roman" w:cs="Times New Roman"/>
          <w:lang w:eastAsia="it-IT"/>
        </w:rPr>
        <w:t xml:space="preserve">1) </w:t>
      </w:r>
      <w:r w:rsidR="00385329" w:rsidRPr="00EC14DE">
        <w:rPr>
          <w:rFonts w:eastAsia="Times New Roman" w:cs="Times New Roman"/>
          <w:lang w:eastAsia="it-IT"/>
        </w:rPr>
        <w:t>le risorse residue sulla contabilità speciale della gestione commissariale derivanti dall'applicazione del comma 456 e inerenti al contributo ivi disciplinato sono trasferite al bilancio della regione Piemonte;</w:t>
      </w:r>
    </w:p>
    <w:p w14:paraId="645B932A" w14:textId="77777777" w:rsidR="00385329" w:rsidRPr="00EC14DE" w:rsidRDefault="006E580D" w:rsidP="006E580D">
      <w:pPr>
        <w:spacing w:after="160" w:line="259" w:lineRule="auto"/>
        <w:contextualSpacing/>
        <w:rPr>
          <w:rFonts w:eastAsia="Times New Roman" w:cs="Times New Roman"/>
          <w:lang w:eastAsia="it-IT"/>
        </w:rPr>
      </w:pPr>
      <w:r w:rsidRPr="00EC14DE">
        <w:rPr>
          <w:rFonts w:eastAsia="Times New Roman" w:cs="Times New Roman"/>
          <w:lang w:eastAsia="it-IT"/>
        </w:rPr>
        <w:t xml:space="preserve">2) </w:t>
      </w:r>
      <w:r w:rsidR="00385329" w:rsidRPr="00EC14DE">
        <w:rPr>
          <w:rFonts w:eastAsia="Times New Roman" w:cs="Times New Roman"/>
          <w:lang w:eastAsia="it-IT"/>
        </w:rPr>
        <w:t xml:space="preserve">le eventuali ulteriori risorse che residuano rispetto a quelle di cui al punto precedente sono </w:t>
      </w:r>
      <w:r w:rsidRPr="00EC14DE">
        <w:rPr>
          <w:rFonts w:eastAsia="Times New Roman" w:cs="Times New Roman"/>
          <w:lang w:eastAsia="it-IT"/>
        </w:rPr>
        <w:t>riversate d’ufficio ad apposito</w:t>
      </w:r>
      <w:r w:rsidR="00385329" w:rsidRPr="00EC14DE">
        <w:rPr>
          <w:rFonts w:eastAsia="Times New Roman" w:cs="Times New Roman"/>
          <w:lang w:eastAsia="it-IT"/>
        </w:rPr>
        <w:t xml:space="preserve"> cap</w:t>
      </w:r>
      <w:r w:rsidR="000B1BA3" w:rsidRPr="00EC14DE">
        <w:rPr>
          <w:rFonts w:eastAsia="Times New Roman" w:cs="Times New Roman"/>
          <w:lang w:eastAsia="it-IT"/>
        </w:rPr>
        <w:t>itolo dello stato di previsione dell'entrata del bilancio dello Stato per essere riassegnate al fondo per l'ammortamento dei titoli di</w:t>
      </w:r>
      <w:r w:rsidR="00385329" w:rsidRPr="00EC14DE">
        <w:rPr>
          <w:rFonts w:eastAsia="Times New Roman" w:cs="Times New Roman"/>
          <w:lang w:eastAsia="it-IT"/>
        </w:rPr>
        <w:t xml:space="preserve"> Stato.”.  </w:t>
      </w:r>
    </w:p>
    <w:bookmarkEnd w:id="123"/>
    <w:p w14:paraId="28298BA6" w14:textId="77777777" w:rsidR="00385329" w:rsidRPr="00EC14DE" w:rsidRDefault="00385329" w:rsidP="00385329">
      <w:pPr>
        <w:jc w:val="left"/>
        <w:rPr>
          <w:rFonts w:ascii="Calibri" w:eastAsia="Calibri" w:hAnsi="Calibri" w:cs="Calibri"/>
        </w:rPr>
      </w:pPr>
    </w:p>
    <w:p w14:paraId="5CDF2D87" w14:textId="77777777" w:rsidR="00385329" w:rsidRPr="00EC14DE" w:rsidRDefault="00385329" w:rsidP="00385329">
      <w:pPr>
        <w:ind w:hanging="426"/>
        <w:rPr>
          <w:rFonts w:eastAsia="Calibri" w:cs="Times New Roman"/>
          <w:b/>
          <w:bCs/>
          <w:sz w:val="24"/>
          <w:szCs w:val="24"/>
        </w:rPr>
      </w:pPr>
    </w:p>
    <w:p w14:paraId="78E28628" w14:textId="77777777" w:rsidR="00877E01" w:rsidRPr="00EC14DE" w:rsidRDefault="00877E01" w:rsidP="007C594F">
      <w:pPr>
        <w:widowControl w:val="0"/>
        <w:spacing w:after="160" w:line="259" w:lineRule="auto"/>
        <w:jc w:val="left"/>
        <w:rPr>
          <w:rFonts w:eastAsiaTheme="majorEastAsia" w:cstheme="majorBidi"/>
          <w:b/>
          <w:sz w:val="24"/>
          <w:szCs w:val="32"/>
        </w:rPr>
      </w:pPr>
      <w:r w:rsidRPr="00EC14DE">
        <w:br w:type="page"/>
      </w:r>
    </w:p>
    <w:p w14:paraId="25419EE0" w14:textId="77777777" w:rsidR="00114990" w:rsidRPr="00EC14DE" w:rsidRDefault="00C91704" w:rsidP="007C594F">
      <w:pPr>
        <w:pStyle w:val="Titolo1"/>
        <w:keepNext w:val="0"/>
        <w:keepLines w:val="0"/>
        <w:widowControl w:val="0"/>
      </w:pPr>
      <w:r w:rsidRPr="00EC14DE">
        <w:t>Titolo XII</w:t>
      </w:r>
      <w:r w:rsidR="0085155B" w:rsidRPr="00EC14DE">
        <w:t>I</w:t>
      </w:r>
      <w:r w:rsidR="00114990" w:rsidRPr="00EC14DE">
        <w:br/>
      </w:r>
      <w:r w:rsidR="00EB704C" w:rsidRPr="00EC14DE">
        <w:t>Pubblica amministrazione e lavoro pubblico</w:t>
      </w:r>
    </w:p>
    <w:p w14:paraId="6178B20B" w14:textId="77777777" w:rsidR="00F964F7" w:rsidRPr="00EC14DE" w:rsidRDefault="00F964F7"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5B0CEF" w:rsidRPr="00EC14DE">
        <w:t>Disposizioni in materia di trattamento accessorio</w:t>
      </w:r>
      <w:r w:rsidRPr="00EC14DE">
        <w:t xml:space="preserve">) </w:t>
      </w:r>
    </w:p>
    <w:p w14:paraId="6E533273" w14:textId="77777777" w:rsidR="000F4178" w:rsidRPr="00EC14DE" w:rsidRDefault="000F4178" w:rsidP="000F4178">
      <w:pPr>
        <w:spacing w:before="100" w:beforeAutospacing="1" w:after="100" w:afterAutospacing="1"/>
      </w:pPr>
      <w:r w:rsidRPr="00EC14DE">
        <w:t xml:space="preserve">1. Al fine di dare attuazione a quanto previsto dall’articolo 3, comma 2, del decreto legge 9 giugno 2021, n. 80, convertito, con modificazioni, dalla legge 6 agosto 2021, n. 113, le risorse destinate ai trattamenti accessori del personale </w:t>
      </w:r>
      <w:r w:rsidR="00C34093" w:rsidRPr="00EC14DE">
        <w:t xml:space="preserve">dipendente dalle amministrazioni di cui all’articolo 1, comma 2, del decreto legislativo 30 marzo 2001, n. 165, </w:t>
      </w:r>
      <w:r w:rsidRPr="00EC14DE">
        <w:t xml:space="preserve">possono essere incrementate, rispetto a quelle destinate a tali finalità nel 2021, con  modalità e criteri stabiliti dalla contrattazione collettiva nazionale relativa al triennio 2019- 2021 o dai provvedimenti di determinazione o autorizzazione dei medesimi trattamenti, di una misura percentuale del monte salari 2018 da determinarsi, per le amministrazioni statali, nei limiti di una spesa complessiva di 200 milioni di euro annui a decorrere dal 2022, al lordo degli oneri contributivi ai fini previdenziali e dell’imposta regionale sulle attività produttive, </w:t>
      </w:r>
      <w:r w:rsidRPr="00EC14DE">
        <w:rPr>
          <w:bCs/>
        </w:rPr>
        <w:t xml:space="preserve">mediante l’istituzione nello stato di previsione del Ministero dell’economia e delle finanze di un apposito fondo con una dotazione di pari importo </w:t>
      </w:r>
      <w:r w:rsidRPr="00EC14DE">
        <w:t xml:space="preserve">e, per le restanti amministrazioni, a valere sui propri bilanci, con la medesima percentuale e i medesimi criteri previsti per il personale delle amministrazioni dello Stato, secondo gli indirizzi impartiti dai rispettivi Comitati di settore ai sensi dell’art. 47, comma 2 del </w:t>
      </w:r>
      <w:r w:rsidR="00C34093" w:rsidRPr="00EC14DE">
        <w:t xml:space="preserve">predetto </w:t>
      </w:r>
      <w:r w:rsidRPr="00EC14DE">
        <w:t>decreto legislativo 30 marzo 2001, n. 165.</w:t>
      </w:r>
    </w:p>
    <w:p w14:paraId="08C3598C" w14:textId="77777777" w:rsidR="00097DCD" w:rsidRPr="00EC14DE" w:rsidRDefault="00097DCD"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BC192C" w:rsidRPr="00EC14DE">
        <w:rPr>
          <w:rFonts w:eastAsia="Calibri"/>
        </w:rPr>
        <w:t>Disposizioni in materia di assunzioni a tempo indeterminato presso la pubblica amministrazione</w:t>
      </w:r>
      <w:r w:rsidRPr="00EC14DE">
        <w:t xml:space="preserve">) </w:t>
      </w:r>
    </w:p>
    <w:p w14:paraId="494EF566" w14:textId="77777777" w:rsidR="005A04A4" w:rsidRPr="00EC14DE" w:rsidRDefault="00BA5C3B" w:rsidP="007C594F">
      <w:pPr>
        <w:widowControl w:val="0"/>
        <w:rPr>
          <w:rFonts w:ascii="Arial" w:hAnsi="Arial" w:cs="Arial"/>
          <w:i/>
          <w:iCs/>
        </w:rPr>
      </w:pPr>
      <w:r w:rsidRPr="00EC14DE">
        <w:rPr>
          <w:rFonts w:cs="Times New Roman"/>
        </w:rPr>
        <w:t>1</w:t>
      </w:r>
      <w:r w:rsidR="005A04A4" w:rsidRPr="00EC14DE">
        <w:rPr>
          <w:rFonts w:cs="Times New Roman"/>
        </w:rPr>
        <w:t>.</w:t>
      </w:r>
      <w:r w:rsidRPr="00EC14DE">
        <w:rPr>
          <w:rFonts w:cs="Times New Roman"/>
        </w:rPr>
        <w:t xml:space="preserve"> </w:t>
      </w:r>
      <w:r w:rsidR="005A04A4" w:rsidRPr="00EC14DE">
        <w:rPr>
          <w:rFonts w:cs="Times New Roman"/>
        </w:rPr>
        <w:t xml:space="preserve">È istituito, nello stato di previsione del Ministero dell’economia e delle finanze, un fondo per le assunzioni </w:t>
      </w:r>
      <w:r w:rsidR="005A04A4" w:rsidRPr="00EC14DE">
        <w:rPr>
          <w:rFonts w:cs="Times New Roman"/>
          <w:bCs/>
        </w:rPr>
        <w:t>di personale</w:t>
      </w:r>
      <w:r w:rsidR="005A04A4" w:rsidRPr="00EC14DE">
        <w:rPr>
          <w:rFonts w:cs="Times New Roman"/>
        </w:rPr>
        <w:t xml:space="preserve"> a tempo indeterminato a favore delle amministrazioni dello Stato, degli enti pubblici non economici nazionali e delle agenzie, con una dotazione iniziale di</w:t>
      </w:r>
      <w:r w:rsidR="005A04A4" w:rsidRPr="00EC14DE">
        <w:rPr>
          <w:rFonts w:cs="Times New Roman"/>
          <w:bCs/>
        </w:rPr>
        <w:t xml:space="preserve"> 100</w:t>
      </w:r>
      <w:r w:rsidR="005A04A4" w:rsidRPr="00EC14DE">
        <w:rPr>
          <w:rFonts w:cs="Times New Roman"/>
        </w:rPr>
        <w:t xml:space="preserve"> </w:t>
      </w:r>
      <w:r w:rsidR="005A04A4" w:rsidRPr="00EC14DE">
        <w:rPr>
          <w:rFonts w:cs="Times New Roman"/>
          <w:bCs/>
        </w:rPr>
        <w:t>milioni</w:t>
      </w:r>
      <w:r w:rsidR="005A04A4" w:rsidRPr="00EC14DE">
        <w:rPr>
          <w:rFonts w:cs="Times New Roman"/>
        </w:rPr>
        <w:t xml:space="preserve"> di euro per l’anno 2022, </w:t>
      </w:r>
      <w:r w:rsidR="005A04A4" w:rsidRPr="00EC14DE">
        <w:rPr>
          <w:rFonts w:cs="Times New Roman"/>
          <w:bCs/>
        </w:rPr>
        <w:t>200 milioni</w:t>
      </w:r>
      <w:r w:rsidR="005A04A4" w:rsidRPr="00EC14DE">
        <w:rPr>
          <w:rFonts w:cs="Times New Roman"/>
        </w:rPr>
        <w:t xml:space="preserve"> </w:t>
      </w:r>
      <w:r w:rsidR="005A04A4" w:rsidRPr="00EC14DE">
        <w:rPr>
          <w:rFonts w:cs="Times New Roman"/>
          <w:bCs/>
        </w:rPr>
        <w:t>di euro per l’anno 2023 e 250 milioni</w:t>
      </w:r>
      <w:r w:rsidR="005A04A4" w:rsidRPr="00EC14DE">
        <w:rPr>
          <w:rFonts w:cs="Times New Roman"/>
        </w:rPr>
        <w:t xml:space="preserve"> </w:t>
      </w:r>
      <w:r w:rsidR="005A04A4" w:rsidRPr="00EC14DE">
        <w:rPr>
          <w:rFonts w:cs="Times New Roman"/>
          <w:bCs/>
        </w:rPr>
        <w:t>di euro a decorrere dall’anno 2024</w:t>
      </w:r>
      <w:r w:rsidR="005A04A4" w:rsidRPr="00EC14DE">
        <w:rPr>
          <w:rFonts w:cs="Times New Roman"/>
        </w:rPr>
        <w:t xml:space="preserve"> da ripartire, sulla base delle specifiche richieste pervenute dalle predette amministrazioni, con decreto del Presidente del Consiglio dei ministri adottato di concerto con il Ministro dell’economia e delle finanze. </w:t>
      </w:r>
    </w:p>
    <w:p w14:paraId="752923F7" w14:textId="77777777" w:rsidR="00F964F7" w:rsidRPr="00EC14DE" w:rsidRDefault="00F964F7"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D66974" w:rsidRPr="00EC14DE">
        <w:rPr>
          <w:szCs w:val="22"/>
        </w:rPr>
        <w:t>Misure in materia di applicazione dei rinnovi contrattuali</w:t>
      </w:r>
      <w:r w:rsidRPr="00EC14DE">
        <w:t>)</w:t>
      </w:r>
    </w:p>
    <w:p w14:paraId="4655B9BC" w14:textId="77777777" w:rsidR="00705A6E" w:rsidRPr="00EC14DE" w:rsidRDefault="00705A6E" w:rsidP="007C594F">
      <w:pPr>
        <w:widowControl w:val="0"/>
        <w:rPr>
          <w:rFonts w:cs="Times New Roman"/>
          <w:bCs/>
        </w:rPr>
      </w:pPr>
      <w:r w:rsidRPr="00EC14DE">
        <w:rPr>
          <w:rFonts w:eastAsia="Times New Roman" w:cs="Times New Roman"/>
          <w:bCs/>
        </w:rPr>
        <w:t>1</w:t>
      </w:r>
      <w:r w:rsidRPr="00EC14DE">
        <w:rPr>
          <w:rFonts w:cs="Times New Roman"/>
          <w:bCs/>
        </w:rPr>
        <w:t xml:space="preserve">. Per il triennio 2022-2024 gli oneri posti a carico del bilancio statale per la contrattazione collettiva nazionale in applicazione dell’articolo 48, comma 1, del decreto legislativo </w:t>
      </w:r>
      <w:bookmarkStart w:id="124" w:name="_Hlk85458845"/>
      <w:r w:rsidRPr="00EC14DE">
        <w:rPr>
          <w:rFonts w:cs="Times New Roman"/>
          <w:bCs/>
        </w:rPr>
        <w:t>30 marzo 2001, n. 165</w:t>
      </w:r>
      <w:bookmarkEnd w:id="124"/>
      <w:r w:rsidRPr="00EC14DE">
        <w:rPr>
          <w:rFonts w:cs="Times New Roman"/>
          <w:bCs/>
        </w:rPr>
        <w:t>, e per i miglioramenti economici del personale statale in regime di dirit</w:t>
      </w:r>
      <w:r w:rsidR="006D2996" w:rsidRPr="00EC14DE">
        <w:rPr>
          <w:rFonts w:cs="Times New Roman"/>
          <w:bCs/>
        </w:rPr>
        <w:t>to pubblico sono determinati in</w:t>
      </w:r>
      <w:r w:rsidRPr="00EC14DE">
        <w:rPr>
          <w:rFonts w:cs="Times New Roman"/>
          <w:bCs/>
        </w:rPr>
        <w:t xml:space="preserve"> 310 milioni di euro per l’anno 2022, in 500 milioni di euro annui a decorrere dal 2023. A valere sui predetti importi si dà luogo nelle more della definizione dei citati contratti collettivi nazionali di lavoro e dei provvedimenti negoziali relativi al personale in regime di diritto pubblico, in deroga alle procedure previste  dalle disposizioni vigenti in materia, all’erogazione dell'anticipazione di cui all'articolo 47-bis, comma 2, del decreto legislativo 30 marzo 2001, n. 165, e degli analoghi trattamenti previsti dai rispettivi ordinamenti,  nella misura percentuale, rispetto agli stipendi tabellari, dello 0,3 per cento dal 1° aprile 2022 al 30 giugno 2022 e dello  0,5 per cento a decorrere dal 1° luglio 2022. Tali importi, comprensivi degli oneri </w:t>
      </w:r>
      <w:bookmarkStart w:id="125" w:name="_Hlk85454523"/>
      <w:r w:rsidRPr="00EC14DE">
        <w:rPr>
          <w:rFonts w:cs="Times New Roman"/>
          <w:bCs/>
        </w:rPr>
        <w:t xml:space="preserve">contributivi ai fini previdenziali e dell’imposta regionale sulle attività produttive </w:t>
      </w:r>
      <w:bookmarkEnd w:id="125"/>
      <w:r w:rsidRPr="00EC14DE">
        <w:rPr>
          <w:rFonts w:cs="Times New Roman"/>
          <w:bCs/>
        </w:rPr>
        <w:t>(IRAP) di cui al decreto legislativo 15 dicembre 1997, n. 446, concorrono a costituire l’importo complessivo massimo di cui all’articolo 21, comma 1-ter, lettera e), della legge 31 dicembre 2009, n. 196.</w:t>
      </w:r>
    </w:p>
    <w:p w14:paraId="61C336A3" w14:textId="77777777" w:rsidR="00705A6E" w:rsidRPr="00EC14DE" w:rsidRDefault="00705A6E" w:rsidP="007C594F">
      <w:pPr>
        <w:widowControl w:val="0"/>
        <w:rPr>
          <w:rFonts w:cs="Times New Roman"/>
          <w:bCs/>
        </w:rPr>
      </w:pPr>
      <w:r w:rsidRPr="00EC14DE">
        <w:rPr>
          <w:rFonts w:cs="Times New Roman"/>
          <w:bCs/>
        </w:rPr>
        <w:t>2. Per il personale dipendente da amministrazioni, istituzioni ed enti pubblici diversi dall'amministrazione statale, gli oneri per i rinnovi contrattuali per il triennio 2022-2024, da destinare alla medesima finalità e da determinarsi sulla base dei medesimi criteri di cui al comma 1, nonché quelli derivanti dalla corresponsione dei miglioramenti economici al personale di cui all'</w:t>
      </w:r>
      <w:hyperlink r:id="rId29" w:tgtFrame="rifNormativi" w:history="1">
        <w:r w:rsidRPr="00EC14DE">
          <w:t>articolo 3, comma 2, del decreto legislativo 30 marzo 2001, n. 165</w:t>
        </w:r>
      </w:hyperlink>
      <w:r w:rsidRPr="00EC14DE">
        <w:rPr>
          <w:rFonts w:cs="Times New Roman"/>
          <w:bCs/>
        </w:rPr>
        <w:t xml:space="preserve">, sono posti a carico dei rispettivi bilanci ai sensi dell'articolo 48, comma 2, dello stesso decreto legislativo. </w:t>
      </w:r>
    </w:p>
    <w:p w14:paraId="19140726" w14:textId="77777777" w:rsidR="00705A6E" w:rsidRPr="00EC14DE" w:rsidRDefault="00705A6E" w:rsidP="007C594F">
      <w:pPr>
        <w:widowControl w:val="0"/>
        <w:rPr>
          <w:rFonts w:cs="Times New Roman"/>
          <w:bCs/>
        </w:rPr>
      </w:pPr>
      <w:r w:rsidRPr="00EC14DE">
        <w:rPr>
          <w:rFonts w:cs="Times New Roman"/>
          <w:bCs/>
        </w:rPr>
        <w:t>3. Le disposizioni di cui al comma 2 si applicano anche al personale convenzionato con il Servizio sanitario nazionale.</w:t>
      </w:r>
    </w:p>
    <w:p w14:paraId="306300EA" w14:textId="77777777" w:rsidR="005B4DA6" w:rsidRPr="00EC14DE" w:rsidRDefault="005B4DA6"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(Ordinamento professionale) </w:t>
      </w:r>
    </w:p>
    <w:p w14:paraId="6126EF1E" w14:textId="77777777" w:rsidR="005B4DA6" w:rsidRPr="00EC14DE" w:rsidRDefault="005A15CB" w:rsidP="007C594F">
      <w:pPr>
        <w:widowControl w:val="0"/>
        <w:rPr>
          <w:i/>
          <w:iCs/>
        </w:rPr>
      </w:pPr>
      <w:r w:rsidRPr="00EC14DE">
        <w:t>1. Le risorse di cui all’articolo 1, comma 436, della legge 30 dicembre 2018, n. 145, e all’articolo 1, comma 959, della legge 30 dicembre 2020, n. 178  sono integrate, a decorrere dal 2022, di 200 milioni di euro al lordo degli oneri riflessi e dell’Irap, al fine di definire, nell’ambito della contrattazione collettiva</w:t>
      </w:r>
      <w:r w:rsidR="00056266" w:rsidRPr="00EC14DE">
        <w:t xml:space="preserve"> nazionale</w:t>
      </w:r>
      <w:r w:rsidRPr="00EC14DE">
        <w:t xml:space="preserve"> relativa al triennio 2019-2021 del personale non dirigente di cui all’articolo 2, comma 2, del decreto legislativo 30 marzo 2001, n. 165, appartenente alle amministrazioni statali, i nuovi ordinamenti professionali ivi inclusi quelli di cui all’articolo 3, comma 1, secondo periodo, del decreto legge 9 giugno 2021, n. 80, convertito, con modificazioni, dalla legge 6 agosto 2021, n. 113, nel limite di una spesa complessiva corrispondente all</w:t>
      </w:r>
      <w:r w:rsidR="00056266" w:rsidRPr="00EC14DE">
        <w:t xml:space="preserve">o </w:t>
      </w:r>
      <w:r w:rsidRPr="00EC14DE">
        <w:t>0,33 per cento del monte salari 2018. Per il corrispondente personale dipendente da amministrazioni, istituzioni ed enti pubblici diversi dall'amministrazione statale alle finalità di cui al precedente periodo si provvede mediante integrazione, a carico dei rispettivi bilanci, delle risorse relative ai CCNL 2019-2021 definite ai sensi dell’articolo 48, comma 2, del citato decreto  legislativo n. 165 del 2001, secondo gli indirizzi impartiti dai relativi Comitati di settore ai sensi dell’art. 47, comma 2</w:t>
      </w:r>
      <w:r w:rsidR="006A50E3" w:rsidRPr="00EC14DE">
        <w:t>,</w:t>
      </w:r>
      <w:r w:rsidRPr="00EC14DE">
        <w:t xml:space="preserve"> dello stesso decreto legislativo</w:t>
      </w:r>
      <w:r w:rsidR="006A50E3" w:rsidRPr="00EC14DE">
        <w:t xml:space="preserve"> n. 165 del 2001,</w:t>
      </w:r>
      <w:r w:rsidRPr="00EC14DE">
        <w:t xml:space="preserve"> nei limiti della medesima percentuale del monte salari 2018 di cui al precedente periodo.</w:t>
      </w:r>
      <w:r w:rsidRPr="00EC14DE">
        <w:rPr>
          <w:i/>
          <w:iCs/>
        </w:rPr>
        <w:t xml:space="preserve">  </w:t>
      </w:r>
    </w:p>
    <w:p w14:paraId="2DB03122" w14:textId="77777777" w:rsidR="007C7EE5" w:rsidRPr="00EC14DE" w:rsidRDefault="007C7EE5"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51365B" w:rsidRPr="00EC14DE">
        <w:t>Risorse per la formazione</w:t>
      </w:r>
      <w:r w:rsidRPr="00EC14DE">
        <w:t xml:space="preserve">) </w:t>
      </w:r>
    </w:p>
    <w:p w14:paraId="5B59BA05" w14:textId="77777777" w:rsidR="00FB2231" w:rsidRPr="00EC14DE" w:rsidRDefault="00D82995" w:rsidP="007C594F">
      <w:pPr>
        <w:widowControl w:val="0"/>
      </w:pPr>
      <w:r w:rsidRPr="00EC14DE">
        <w:t>1. Al fine di conseguire l’obiettivo di una piena formazione digitale, ecologica e amministrativa dei dipendenti della pubblica amministrazione, è istituito, nello stato di previsione del Ministero dell'economia e delle finanze per il successivo trasferimento al bilancio autonomo della Presidenza del Consiglio dei ministri, un apposito fondo per la formazione con una dotazione iniziale di 50 milioni di euro annui a decorrere dall’anno 2022.</w:t>
      </w:r>
    </w:p>
    <w:p w14:paraId="1C423566" w14:textId="77777777" w:rsidR="0094048C" w:rsidRPr="00EC14DE" w:rsidRDefault="00B96AE6"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(I</w:t>
      </w:r>
      <w:r w:rsidR="0094048C" w:rsidRPr="00EC14DE">
        <w:t>ncremento del ruolo organico della magistratura</w:t>
      </w:r>
      <w:r w:rsidRPr="00EC14DE">
        <w:t>)</w:t>
      </w:r>
    </w:p>
    <w:p w14:paraId="33074CE4" w14:textId="77777777" w:rsidR="00B96AE6" w:rsidRPr="00EC14DE" w:rsidRDefault="00B96AE6" w:rsidP="007C594F">
      <w:pPr>
        <w:widowControl w:val="0"/>
        <w:shd w:val="clear" w:color="auto" w:fill="FFFFFF"/>
        <w:ind w:right="35"/>
        <w:textAlignment w:val="baseline"/>
        <w:rPr>
          <w:rFonts w:eastAsia="Times New Roman"/>
        </w:rPr>
      </w:pPr>
      <w:r w:rsidRPr="00EC14DE">
        <w:rPr>
          <w:bCs/>
        </w:rPr>
        <w:t>1. Al fine di adeguare l’organico della magistratura ordinaria alle sempre più gravose attività connesse alla protezione internazionale, alla sorveglianza per l’esecuzione delle pene nonché alle funzioni di legittimità in ragione delle competenze relative alla Procura europea, il ruolo organico del personale della magistratura ordinaria è aumentato complessivamente di 82 unità. La </w:t>
      </w:r>
      <w:hyperlink r:id="rId30" w:anchor="id=10LX0000117327ART2,__m=document" w:history="1">
        <w:r w:rsidRPr="00EC14DE">
          <w:rPr>
            <w:bCs/>
          </w:rPr>
          <w:t>tabella B allegata alla legge 5 marzo 1991, n. 71</w:t>
        </w:r>
      </w:hyperlink>
      <w:r w:rsidRPr="00EC14DE">
        <w:rPr>
          <w:bCs/>
        </w:rPr>
        <w:t>, da ultimo modificata dall'</w:t>
      </w:r>
      <w:hyperlink r:id="rId31" w:anchor="id=10LX0000904969ART20,__m=document" w:history="1">
        <w:r w:rsidRPr="00EC14DE">
          <w:rPr>
            <w:bCs/>
          </w:rPr>
          <w:t xml:space="preserve">articolo 24, comma 1, del decreto legge 24 agosto 2021, n. </w:t>
        </w:r>
      </w:hyperlink>
      <w:r w:rsidRPr="00EC14DE">
        <w:rPr>
          <w:bCs/>
        </w:rPr>
        <w:t xml:space="preserve">118, è sostituita dalla tabella </w:t>
      </w:r>
      <w:r w:rsidR="00D86053" w:rsidRPr="00EC14DE">
        <w:rPr>
          <w:bCs/>
        </w:rPr>
        <w:t xml:space="preserve">di cui </w:t>
      </w:r>
      <w:r w:rsidR="001C0AC6" w:rsidRPr="00EC14DE">
        <w:rPr>
          <w:bCs/>
        </w:rPr>
        <w:t>all’</w:t>
      </w:r>
      <w:r w:rsidR="009E1163" w:rsidRPr="00EC14DE">
        <w:rPr>
          <w:b/>
          <w:bCs/>
        </w:rPr>
        <w:t xml:space="preserve">Allegato </w:t>
      </w:r>
      <w:r w:rsidR="009E41F3" w:rsidRPr="00EC14DE">
        <w:rPr>
          <w:b/>
          <w:bCs/>
        </w:rPr>
        <w:t>7</w:t>
      </w:r>
      <w:r w:rsidRPr="00EC14DE">
        <w:rPr>
          <w:b/>
          <w:bCs/>
        </w:rPr>
        <w:t xml:space="preserve"> </w:t>
      </w:r>
      <w:r w:rsidR="00396954" w:rsidRPr="00EC14DE">
        <w:rPr>
          <w:bCs/>
        </w:rPr>
        <w:t xml:space="preserve">annesso </w:t>
      </w:r>
      <w:r w:rsidRPr="00EC14DE">
        <w:rPr>
          <w:bCs/>
        </w:rPr>
        <w:t>alla presente legge. Il Ministero della giustizia è autorizzato a bandire nel corso dell'anno 2022 le procedure concorsuali di reclutamento finalizzate all'assunzione, nell'anno 2023, delle unità di personale di magistratura di cui al presente comma.</w:t>
      </w:r>
    </w:p>
    <w:p w14:paraId="3A1DA191" w14:textId="77777777" w:rsidR="00B96AE6" w:rsidRPr="00EC14DE" w:rsidRDefault="00B96AE6" w:rsidP="007C594F">
      <w:pPr>
        <w:widowControl w:val="0"/>
        <w:shd w:val="clear" w:color="auto" w:fill="FFFFFF"/>
        <w:ind w:right="35"/>
        <w:textAlignment w:val="baseline"/>
        <w:rPr>
          <w:bCs/>
        </w:rPr>
      </w:pPr>
      <w:r w:rsidRPr="00EC14DE">
        <w:rPr>
          <w:bCs/>
        </w:rPr>
        <w:t>2. Per l'attuazione delle disposizioni del comma 1, è autorizzata la spesa nel limite di euro 5.777.557 per l'anno 2023, di euro 6.908.200 per l'anno 2024, di euro 7.555.182 per l'anno 2025, di euro 7.703.931 per l'anno 2026, di euro 9.625.139 per l'anno 2027, di euro 9.831.582 per l'anno 2028, di euro 10.008.533 per l'anno 2029, di euro 10.214.976 per l'anno 2030, di euro 10.391.927 per l'anno 2031 e di euro 10.598.370 a decorrere dall'anno 2032.</w:t>
      </w:r>
    </w:p>
    <w:p w14:paraId="1DCC103E" w14:textId="77777777" w:rsidR="008079D5" w:rsidRPr="00EC14DE" w:rsidRDefault="008079D5"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(Assunzione di magistrati ordinari vincitori di concorso)</w:t>
      </w:r>
    </w:p>
    <w:p w14:paraId="3897E8D3" w14:textId="77777777" w:rsidR="008079D5" w:rsidRPr="00EC14DE" w:rsidRDefault="008079D5" w:rsidP="007C594F">
      <w:pPr>
        <w:widowControl w:val="0"/>
        <w:spacing w:after="160" w:line="252" w:lineRule="auto"/>
        <w:ind w:right="566"/>
        <w:rPr>
          <w:rFonts w:cs="Times New Roman"/>
        </w:rPr>
      </w:pPr>
      <w:r w:rsidRPr="00EC14DE">
        <w:rPr>
          <w:rFonts w:cs="Times New Roman"/>
        </w:rPr>
        <w:t>1. Il Ministero della giustizia è autorizzato nell'anno 2022, in aggiunta alle facoltà assunzionali previste dalla normativa vigente, ad assumere magistrati ordinari vincitori di concorso già bandito alla data di entrata in vigore della presente legge nei limiti della vigente dotazione organica. A tal fine è autorizzata la spesa nel limite di euro 1.761.450 per l'anno 2022, di euro 12.636.951 per l'anno 2023, di euro 13.820.454 per l'anno 2024, di euro 14.092.556 per l'anno 2025, di euro 17.606.962 per l'anno 2026, di euro 17.984.601 per l'anno 2027, di euro 18.308.292 per l'anno 2028, di euro 18.685.931 per l'anno 2029, di euro 19.009.622 per l'anno 2030 e di euro 19.387.262 a decorrere dall’anno 2031.</w:t>
      </w:r>
    </w:p>
    <w:p w14:paraId="36CBB960" w14:textId="77777777" w:rsidR="008079D5" w:rsidRPr="00EC14DE" w:rsidRDefault="008079D5" w:rsidP="007C594F">
      <w:pPr>
        <w:pStyle w:val="Titolo3"/>
        <w:keepNext w:val="0"/>
        <w:keepLines w:val="0"/>
        <w:widowControl w:val="0"/>
        <w:rPr>
          <w:bCs/>
        </w:rPr>
      </w:pPr>
      <w:r w:rsidRPr="00EC14DE">
        <w:t xml:space="preserve">ART. </w:t>
      </w:r>
      <w:r w:rsidRPr="00EC14DE">
        <w:fldChar w:fldCharType="begin"/>
      </w:r>
      <w:r w:rsidRPr="00EC14DE">
        <w:instrText xml:space="preserve"> AUTONUM  \* Arabic </w:instrText>
      </w:r>
      <w:r w:rsidRPr="00EC14DE">
        <w:fldChar w:fldCharType="end"/>
      </w:r>
      <w:r w:rsidRPr="00EC14DE">
        <w:rPr>
          <w:bCs/>
        </w:rPr>
        <w:br/>
        <w:t>(Attuazione dell’articolo 46 del decreto legislativo 29 maggio 2017, n. 95)</w:t>
      </w:r>
    </w:p>
    <w:p w14:paraId="40935FBB" w14:textId="77777777" w:rsidR="008079D5" w:rsidRPr="00EC14DE" w:rsidRDefault="008079D5" w:rsidP="007C594F">
      <w:pPr>
        <w:pStyle w:val="wordsection1"/>
        <w:widowControl w:val="0"/>
        <w:jc w:val="both"/>
        <w:rPr>
          <w:sz w:val="22"/>
          <w:szCs w:val="22"/>
        </w:rPr>
      </w:pPr>
      <w:r w:rsidRPr="00EC14DE">
        <w:rPr>
          <w:sz w:val="22"/>
          <w:szCs w:val="22"/>
        </w:rPr>
        <w:t xml:space="preserve">1. In aggiunta a quanto previsto dall’articolo 20, comma 1, del decreto-legge 30 dicembre 2019, n. 162, convertito, con modificazioni, dalla legge 28 febbraio 2020, n. 8, è autorizzata la spesa di 10 milioni di euro a decorrere dal 2022, destinati al personale di cui all’articolo 46, commi 3 e 6, del decreto legislativo 29 maggio 2017, n. 95, per i provvedimenti ivi previsti. Le predette risorse aggiuntive incrementano quelle di ciascuna Forza di polizia e delle Forze armate in misura proporzionale alla ripartizione operata, per l’anno 2020, dall’articolo 3 del decreto del Presidente del Consiglio dei ministri 21 marzo 2018, adottato ai sensi dell’articolo 1, comma 680, della </w:t>
      </w:r>
      <w:r w:rsidR="00547D8F" w:rsidRPr="00EC14DE">
        <w:rPr>
          <w:sz w:val="22"/>
          <w:szCs w:val="22"/>
        </w:rPr>
        <w:t>legge 27 dicembre 2017, n. 205.</w:t>
      </w:r>
    </w:p>
    <w:p w14:paraId="70CC6A30" w14:textId="77777777" w:rsidR="00342040" w:rsidRPr="00EC14DE" w:rsidRDefault="00342040"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br/>
        <w:t>(</w:t>
      </w:r>
      <w:r w:rsidRPr="00EC14DE">
        <w:rPr>
          <w:rFonts w:eastAsia="Times New Roman"/>
        </w:rPr>
        <w:t xml:space="preserve">Strade sicure) </w:t>
      </w:r>
    </w:p>
    <w:p w14:paraId="6D12AACC" w14:textId="77777777" w:rsidR="00524212" w:rsidRPr="00EC14DE" w:rsidRDefault="00524212" w:rsidP="007C594F">
      <w:pPr>
        <w:pStyle w:val="Corpotesto"/>
        <w:widowControl w:val="0"/>
        <w:spacing w:after="0"/>
        <w:ind w:right="108"/>
        <w:rPr>
          <w:rFonts w:cs="Times New Roman"/>
        </w:rPr>
      </w:pPr>
      <w:r w:rsidRPr="00EC14DE">
        <w:rPr>
          <w:rFonts w:cs="Times New Roman"/>
        </w:rPr>
        <w:t>1. All’articolo 1, della legge 30 dicembre 2020, n. 178:</w:t>
      </w:r>
    </w:p>
    <w:p w14:paraId="002F3B97" w14:textId="77777777" w:rsidR="00524212" w:rsidRPr="00EC14DE" w:rsidRDefault="006D2996" w:rsidP="007C594F">
      <w:pPr>
        <w:pStyle w:val="Corpotesto"/>
        <w:widowControl w:val="0"/>
        <w:spacing w:after="0"/>
        <w:ind w:right="108"/>
        <w:rPr>
          <w:rFonts w:cs="Times New Roman"/>
        </w:rPr>
      </w:pPr>
      <w:r w:rsidRPr="00EC14DE">
        <w:rPr>
          <w:rFonts w:cs="Times New Roman"/>
        </w:rPr>
        <w:t xml:space="preserve">a) al comma 1023 </w:t>
      </w:r>
      <w:r w:rsidR="00524212" w:rsidRPr="00EC14DE">
        <w:rPr>
          <w:rFonts w:cs="Times New Roman"/>
        </w:rPr>
        <w:t>le parole “31 dicembre 2022” sono sostituite dalle seguenti “31 dicembre 2023</w:t>
      </w:r>
      <w:r w:rsidR="00AD622A" w:rsidRPr="00EC14DE">
        <w:rPr>
          <w:rFonts w:cs="Times New Roman"/>
        </w:rPr>
        <w:t>”;</w:t>
      </w:r>
    </w:p>
    <w:p w14:paraId="2F0DBD7D" w14:textId="77777777" w:rsidR="00524212" w:rsidRPr="00EC14DE" w:rsidRDefault="00AD622A" w:rsidP="007C594F">
      <w:pPr>
        <w:pStyle w:val="Corpotesto"/>
        <w:widowControl w:val="0"/>
        <w:spacing w:after="0"/>
        <w:ind w:right="108"/>
        <w:rPr>
          <w:rFonts w:cs="Times New Roman"/>
        </w:rPr>
      </w:pPr>
      <w:r w:rsidRPr="00EC14DE">
        <w:rPr>
          <w:rFonts w:cs="Times New Roman"/>
        </w:rPr>
        <w:t xml:space="preserve">b) </w:t>
      </w:r>
      <w:r w:rsidR="00524212" w:rsidRPr="00EC14DE">
        <w:rPr>
          <w:rFonts w:cs="Times New Roman"/>
        </w:rPr>
        <w:t>al comma 1024, le parole: "</w:t>
      </w:r>
      <w:r w:rsidR="00CD0A81" w:rsidRPr="00EC14DE">
        <w:rPr>
          <w:rFonts w:cs="Times New Roman"/>
        </w:rPr>
        <w:t>di</w:t>
      </w:r>
      <w:r w:rsidR="00524212" w:rsidRPr="00EC14DE">
        <w:rPr>
          <w:rFonts w:cs="Times New Roman"/>
        </w:rPr>
        <w:t xml:space="preserve"> euro 141.521.230</w:t>
      </w:r>
      <w:r w:rsidR="00727272" w:rsidRPr="00EC14DE">
        <w:rPr>
          <w:rFonts w:cs="Times New Roman"/>
        </w:rPr>
        <w:t xml:space="preserve"> pe</w:t>
      </w:r>
      <w:r w:rsidR="006D2996" w:rsidRPr="00EC14DE">
        <w:rPr>
          <w:rFonts w:cs="Times New Roman"/>
        </w:rPr>
        <w:t>r l'anno</w:t>
      </w:r>
      <w:r w:rsidR="00524212" w:rsidRPr="00EC14DE">
        <w:rPr>
          <w:rFonts w:cs="Times New Roman"/>
        </w:rPr>
        <w:t xml:space="preserve"> 2022" sono sostituite dalle seguenti: "di euro 149.721.230 per l'anno 2022 e di euro 137.070.683 per l’anno 2023” e </w:t>
      </w:r>
      <w:r w:rsidR="00C94AFB" w:rsidRPr="00EC14DE">
        <w:rPr>
          <w:rFonts w:cs="Times New Roman"/>
        </w:rPr>
        <w:t>le  parole:</w:t>
      </w:r>
      <w:r w:rsidR="00524212" w:rsidRPr="00EC14DE">
        <w:rPr>
          <w:rFonts w:cs="Times New Roman"/>
        </w:rPr>
        <w:t xml:space="preserve"> " e,</w:t>
      </w:r>
      <w:r w:rsidRPr="00EC14DE">
        <w:rPr>
          <w:rFonts w:cs="Times New Roman"/>
        </w:rPr>
        <w:t xml:space="preserve"> </w:t>
      </w:r>
      <w:r w:rsidR="00524212" w:rsidRPr="00EC14DE">
        <w:rPr>
          <w:rFonts w:cs="Times New Roman"/>
        </w:rPr>
        <w:t>per l'anno 2022, di euro 139.050.547   e  di euro 2.470.683, rispettivamente, per il personale di cui al  medesimo comma 74 e per il personale di cui al medesimo comma 75 dell'articolo 24 del decreto-le</w:t>
      </w:r>
      <w:r w:rsidR="00C94AFB" w:rsidRPr="00EC14DE">
        <w:rPr>
          <w:rFonts w:cs="Times New Roman"/>
        </w:rPr>
        <w:t>gge n. 78 del 2009, convertito,</w:t>
      </w:r>
      <w:r w:rsidR="00524212" w:rsidRPr="00EC14DE">
        <w:rPr>
          <w:rFonts w:cs="Times New Roman"/>
        </w:rPr>
        <w:t xml:space="preserve"> con modificazioni, dalla legge n. 102 del 2009." sono sostituite dalle seguenti: ", per l'anno 2022, di euro 147.250.547  e  di euro 2.470.683, rispettivamente, per il personale di cui al  medesimo</w:t>
      </w:r>
      <w:r w:rsidRPr="00EC14DE">
        <w:rPr>
          <w:rFonts w:cs="Times New Roman"/>
        </w:rPr>
        <w:t xml:space="preserve"> </w:t>
      </w:r>
      <w:r w:rsidR="00524212" w:rsidRPr="00EC14DE">
        <w:rPr>
          <w:rFonts w:cs="Times New Roman"/>
        </w:rPr>
        <w:t>comma 74 e per il personale di cui al medesimo comma 75 dell'articolo 24 del decreto-le</w:t>
      </w:r>
      <w:r w:rsidRPr="00EC14DE">
        <w:rPr>
          <w:rFonts w:cs="Times New Roman"/>
        </w:rPr>
        <w:t>gge n. 78 del 2009, convertito,</w:t>
      </w:r>
      <w:r w:rsidR="00524212" w:rsidRPr="00EC14DE">
        <w:rPr>
          <w:rFonts w:cs="Times New Roman"/>
        </w:rPr>
        <w:t xml:space="preserve"> con  modificazioni, dalla legge n. 102 del 2009, e per l’anno 2023, di euro 134.600.000 e di</w:t>
      </w:r>
      <w:r w:rsidRPr="00EC14DE">
        <w:rPr>
          <w:rFonts w:cs="Times New Roman"/>
        </w:rPr>
        <w:t xml:space="preserve"> </w:t>
      </w:r>
      <w:r w:rsidR="00524212" w:rsidRPr="00EC14DE">
        <w:rPr>
          <w:rFonts w:cs="Times New Roman"/>
        </w:rPr>
        <w:t>euro 2.470.683, rispettivamente, per il personale di cui al  medesimo comma 74 e per il personale di cui al medesimo comma 75 dell'articolo 24 del decreto-legge n. 78 del 2009, convertito,  con  modificazioni,</w:t>
      </w:r>
      <w:r w:rsidRPr="00EC14DE">
        <w:rPr>
          <w:rFonts w:cs="Times New Roman"/>
        </w:rPr>
        <w:t xml:space="preserve"> </w:t>
      </w:r>
      <w:r w:rsidR="00524212" w:rsidRPr="00EC14DE">
        <w:rPr>
          <w:rFonts w:cs="Times New Roman"/>
        </w:rPr>
        <w:t>dalla legge n. 102 del 2009</w:t>
      </w:r>
      <w:r w:rsidR="00093618" w:rsidRPr="00EC14DE">
        <w:rPr>
          <w:rFonts w:cs="Times New Roman"/>
        </w:rPr>
        <w:t>.</w:t>
      </w:r>
      <w:r w:rsidR="00524212" w:rsidRPr="00EC14DE">
        <w:rPr>
          <w:rFonts w:cs="Times New Roman"/>
        </w:rPr>
        <w:t>".</w:t>
      </w:r>
    </w:p>
    <w:p w14:paraId="3D2B2FA4" w14:textId="77777777" w:rsidR="00EC14DE" w:rsidRPr="00EC14DE" w:rsidRDefault="00EC14DE">
      <w:pPr>
        <w:spacing w:after="160" w:line="259" w:lineRule="auto"/>
        <w:jc w:val="left"/>
        <w:rPr>
          <w:rFonts w:eastAsiaTheme="majorEastAsia" w:cstheme="majorBidi"/>
          <w:b/>
          <w:sz w:val="24"/>
          <w:szCs w:val="32"/>
        </w:rPr>
      </w:pPr>
      <w:r w:rsidRPr="00EC14DE">
        <w:br w:type="page"/>
      </w:r>
    </w:p>
    <w:p w14:paraId="3CCF7687" w14:textId="77777777" w:rsidR="00FF3662" w:rsidRPr="00EC14DE" w:rsidRDefault="006A0548" w:rsidP="007C594F">
      <w:pPr>
        <w:pStyle w:val="Titolo1"/>
        <w:keepNext w:val="0"/>
        <w:keepLines w:val="0"/>
        <w:widowControl w:val="0"/>
      </w:pPr>
      <w:r w:rsidRPr="00EC14DE">
        <w:t>Titolo X</w:t>
      </w:r>
      <w:r w:rsidR="00B311CA" w:rsidRPr="00EC14DE">
        <w:t>I</w:t>
      </w:r>
      <w:r w:rsidR="0085155B" w:rsidRPr="00EC14DE">
        <w:t>V</w:t>
      </w:r>
      <w:r w:rsidR="002E64BD" w:rsidRPr="00EC14DE">
        <w:br/>
      </w:r>
      <w:r w:rsidR="00FF3662" w:rsidRPr="00EC14DE">
        <w:t>D</w:t>
      </w:r>
      <w:r w:rsidR="00CB6AC6" w:rsidRPr="00EC14DE">
        <w:t xml:space="preserve">isposizioni in materia di entrate </w:t>
      </w:r>
    </w:p>
    <w:p w14:paraId="7E02EB9C" w14:textId="77777777" w:rsidR="00CC7E81" w:rsidRPr="00EC14DE" w:rsidRDefault="00CC7E81"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 xml:space="preserve">(Modifiche alla disciplina della rivalutazione dei beni e del riallineamento dei valori fiscali) </w:t>
      </w:r>
    </w:p>
    <w:p w14:paraId="5115C651" w14:textId="77777777" w:rsidR="00BD2E70" w:rsidRPr="00EC14DE" w:rsidRDefault="00BD2E70" w:rsidP="007C594F">
      <w:pPr>
        <w:widowControl w:val="0"/>
        <w:shd w:val="clear" w:color="auto" w:fill="FFFFFF"/>
        <w:rPr>
          <w:rFonts w:cs="Times New Roman"/>
        </w:rPr>
      </w:pPr>
      <w:r w:rsidRPr="00EC14DE">
        <w:rPr>
          <w:rFonts w:cs="Times New Roman"/>
        </w:rPr>
        <w:t>1. All'articolo 110 del decreto-legge 14 agosto 2020, n. 104, convertito, con modificazioni, dalla legge 13 ottobre 2020, n. 126, dopo il comma 8-bis sono aggiunti i seguenti commi: “8-ter. La deduzione ai fini delle imposte sui redditi e dell’imposta regionale sulle attività produttive del maggior valore imputato ai sensi dei commi 4, 8 e 8-bis alle attività immateriali le cui quote di ammortamento, ai sensi dell’articolo 103 del testo unico delle imposte sui redditi, sono deducibili in misura non superiore ad un diciottesimo del costo o del valore, è effettuata, in ogni caso, in misura non superiore, per ciascun periodo d’imposta, a un cinquantesimo</w:t>
      </w:r>
      <w:r w:rsidRPr="00EC14DE">
        <w:rPr>
          <w:rFonts w:cs="Times New Roman"/>
          <w:b/>
        </w:rPr>
        <w:t xml:space="preserve"> </w:t>
      </w:r>
      <w:r w:rsidRPr="00EC14DE">
        <w:rPr>
          <w:rFonts w:cs="Times New Roman"/>
        </w:rPr>
        <w:t>di detto importo. Nel caso di cessione a titolo oneroso, di assegnazione ai soci o di destinazione a finalità estranee all’esercizio dell’impresa ovvero al consumo personale o familiare dell’imprenditore o, ancora, di eliminazione dal complesso produttivo l’eventuale minusvalenza è deducibile, fino a concorrenza del valore residuo del maggior valore di cui al primo periodo, in quote costanti per il residuo periodo di ammortamento come determinato ai sensi dello stesso primo periodo. Per l’avente causa la quota di costo riferibile al residuo valore ammortizzabile del maggior valore di cui al primo periodo al netto dell’eventuale minusvalenza dedotta dal dante causa ai sensi del secondo periodo è ammessa in deduzione in quote costanti per il residuo periodo di ammortamento.</w:t>
      </w:r>
    </w:p>
    <w:p w14:paraId="4B65FB00" w14:textId="77777777" w:rsidR="00BD2E70" w:rsidRPr="00EC14DE" w:rsidRDefault="00BD2E70" w:rsidP="007C594F">
      <w:pPr>
        <w:widowControl w:val="0"/>
        <w:shd w:val="clear" w:color="auto" w:fill="FFFFFF"/>
        <w:rPr>
          <w:rFonts w:cs="Times New Roman"/>
        </w:rPr>
      </w:pPr>
      <w:r w:rsidRPr="00EC14DE">
        <w:rPr>
          <w:rFonts w:cs="Times New Roman"/>
        </w:rPr>
        <w:t>8-quater. In deroga alle disposizioni contenute nel comma 8-ter è possibile effettuare la deduzione del maggior valore imputato in misura non superiore, per ciascun periodo d’imposta, a un diciottesimo di detto importo, mediante il versamento di un’imposta sostitutiva delle imposte sui redditi e dell’imposta regionale sulle attività produttive e di eventuali addizionali nella misura corrispondente a quella stabilita dall’articolo 176, comma 2-ter, del testo unico delle imposte sui redditi, al netto dell’imposta sostitutiva determinata ai sensi del comma 4, da effettuare in un massimo di due rate di pari importo di cui la prima con scadenza entro il termine previsto per il versamento a saldo delle imposte sui redditi relativo al periodo d’imposta successivo a quello con riferimento al quale la rivalutazione è eseguita e la seconda con scadenza entro il termine previsto per il versamento a saldo delle imposte sui redditi relative al periodo d’imposta successivo.”.</w:t>
      </w:r>
    </w:p>
    <w:p w14:paraId="225B0638" w14:textId="77777777" w:rsidR="00BD2E70" w:rsidRPr="00EC14DE" w:rsidRDefault="00BD2E70" w:rsidP="007C594F">
      <w:pPr>
        <w:widowControl w:val="0"/>
        <w:shd w:val="clear" w:color="auto" w:fill="FFFFFF"/>
        <w:rPr>
          <w:rFonts w:cs="Times New Roman"/>
        </w:rPr>
      </w:pPr>
      <w:r w:rsidRPr="00EC14DE">
        <w:rPr>
          <w:rFonts w:cs="Times New Roman"/>
        </w:rPr>
        <w:t xml:space="preserve">2. In deroga all’articolo 3 della legge 27 luglio 2000, n. 212 le modifiche di cui al comma 1 hanno effetto a decorrere dall’esercizio successivo a quello con riferimento al quale la rivalutazione e il riallineamento sono eseguiti. </w:t>
      </w:r>
    </w:p>
    <w:p w14:paraId="190A564E" w14:textId="77777777" w:rsidR="00BD2E70" w:rsidRPr="00EC14DE" w:rsidRDefault="00BD2E70" w:rsidP="007C594F">
      <w:pPr>
        <w:widowControl w:val="0"/>
        <w:shd w:val="clear" w:color="auto" w:fill="FFFFFF"/>
        <w:rPr>
          <w:rFonts w:cs="Times New Roman"/>
        </w:rPr>
      </w:pPr>
      <w:r w:rsidRPr="00EC14DE">
        <w:rPr>
          <w:rFonts w:eastAsia="Times New Roman" w:cs="Times New Roman"/>
        </w:rPr>
        <w:t>3. I soggetti che, alla data di entrata in vigore del presente articolo, hanno provveduto al versamento delle imposte sostitutive ai sensi del comma 6 dell’articolo 110 del decreto-legge 14 agosto 2020, n. 104, convertito, con modificazioni, dalla legge 13 ottobre 2020, n. 126, hanno facoltà di revocare, anche parzialmente, l’applicazione della disciplina fiscale del citato articolo 110, secondo modalità e termini da adottarsi con Provvedimento del Direttore dell’Agenzia delle entrate. La revoca costituisce titolo per il rimborso ovvero per l’utilizzo in compensazione, ai sensi dell’articolo 17 del Decreto legislativo del 9 luglio 1997 n. 241, dell’importo delle imposte sostitutive versate, secondo modalità e termini da adottarsi con il medesimo Provvedimento del Direttore dell’Agenzia delle entrate di cui al periodo precedente.</w:t>
      </w:r>
    </w:p>
    <w:p w14:paraId="3C9DBE82" w14:textId="77777777" w:rsidR="004A6DDD" w:rsidRPr="00EC14DE" w:rsidRDefault="00EA2A27" w:rsidP="00EA2A27">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(Disposizioni in materia di contributo unificato)</w:t>
      </w:r>
    </w:p>
    <w:p w14:paraId="0AA268B5" w14:textId="77777777" w:rsidR="00EA2A27" w:rsidRPr="00EC14DE" w:rsidRDefault="00EA2A27" w:rsidP="00EA2A27">
      <w:r w:rsidRPr="00EC14DE">
        <w:t>1. Al decreto del Presidente della Repubblica 30 maggio 2002, n. 115 sono apportate le seguenti modificazioni:</w:t>
      </w:r>
    </w:p>
    <w:p w14:paraId="13979550" w14:textId="77777777" w:rsidR="00EA2A27" w:rsidRPr="00EC14DE" w:rsidRDefault="00EA2A27" w:rsidP="00EA2A27">
      <w:r w:rsidRPr="00EC14DE">
        <w:t xml:space="preserve">a) all’articolo 16:          </w:t>
      </w:r>
    </w:p>
    <w:p w14:paraId="3947E253" w14:textId="77777777" w:rsidR="00EA2A27" w:rsidRPr="00EC14DE" w:rsidRDefault="00EA2A27" w:rsidP="00EA2A27">
      <w:r w:rsidRPr="00EC14DE">
        <w:t>1) prima del comma 1 è aggiunto il seguente: “01. In caso di omesso pagamento del contributo unificato, ovvero nel caso in cui l'importo versato non è corrispondente al valore della causa dichiarato dalla parte ai sensi dell’articolo 15, comma 1, anche quando sono utilizzate modalità di pagamento con sistemi telematici, il personale incaricato non deve procedere all’iscrizione al ruolo.”;</w:t>
      </w:r>
    </w:p>
    <w:p w14:paraId="15C24FD7" w14:textId="77777777" w:rsidR="00EA2A27" w:rsidRPr="00EC14DE" w:rsidRDefault="00EA2A27" w:rsidP="00EA2A27">
      <w:r w:rsidRPr="00EC14DE">
        <w:t>2) al comma 1 prima delle parole “In caso di omesso” sono aggiunte le seguenti: “Fermo quanto previsto dal comma 01,”;</w:t>
      </w:r>
    </w:p>
    <w:p w14:paraId="5A7D9BBC" w14:textId="77777777" w:rsidR="00EA2A27" w:rsidRPr="00EC14DE" w:rsidRDefault="00EA2A27" w:rsidP="00EA2A27">
      <w:r w:rsidRPr="00EC14DE">
        <w:t>3) al comma 1-bis le parole “In caso di omesso o parziale pagamento del contributo unificato” sono sostituite dalle seguenti: “Nei casi di cui al comma 1”;</w:t>
      </w:r>
    </w:p>
    <w:p w14:paraId="1FCC50B8" w14:textId="77777777" w:rsidR="00EA2A27" w:rsidRPr="00EC14DE" w:rsidRDefault="00EA2A27" w:rsidP="00EA2A27">
      <w:r w:rsidRPr="00EC14DE">
        <w:t>b) all’articolo 248, comma 1, dopo le parole “articolo 16” sono aggiunte le seguenti: “, commi 1 e 1-bis”;</w:t>
      </w:r>
    </w:p>
    <w:p w14:paraId="7C415903" w14:textId="77777777" w:rsidR="00EA2A27" w:rsidRPr="00EC14DE" w:rsidRDefault="00EA2A27" w:rsidP="00EA2A27">
      <w:r w:rsidRPr="00EC14DE">
        <w:t>c) all’articolo 208, comma 1:</w:t>
      </w:r>
    </w:p>
    <w:p w14:paraId="7200D4CD" w14:textId="77777777" w:rsidR="00EA2A27" w:rsidRPr="00EC14DE" w:rsidRDefault="00EA2A27" w:rsidP="00EA2A27">
      <w:r w:rsidRPr="00EC14DE">
        <w:t>1) alla lettera a) le parole: «, contabile» sono soppresse;</w:t>
      </w:r>
    </w:p>
    <w:p w14:paraId="24F0C179" w14:textId="77777777" w:rsidR="00EA2A27" w:rsidRPr="00EC14DE" w:rsidRDefault="00EA2A27" w:rsidP="00EA2A27">
      <w:r w:rsidRPr="00EC14DE">
        <w:t>2) dopo la lettera b) è inserita la seguente: «c) in tutte le altre ipotesi è quello incardinato presso la Corte d’Appello di Roma».</w:t>
      </w:r>
    </w:p>
    <w:p w14:paraId="433B0251" w14:textId="77777777" w:rsidR="00EA2A27" w:rsidRPr="00EC14DE" w:rsidRDefault="00EA2A27">
      <w:pPr>
        <w:spacing w:after="160" w:line="259" w:lineRule="auto"/>
        <w:jc w:val="left"/>
        <w:rPr>
          <w:rFonts w:eastAsiaTheme="majorEastAsia" w:cstheme="majorBidi"/>
          <w:b/>
          <w:sz w:val="24"/>
          <w:szCs w:val="32"/>
        </w:rPr>
      </w:pPr>
    </w:p>
    <w:p w14:paraId="49D4C294" w14:textId="77777777" w:rsidR="00EC14DE" w:rsidRPr="00EC14DE" w:rsidRDefault="00EC14DE">
      <w:pPr>
        <w:spacing w:after="160" w:line="259" w:lineRule="auto"/>
        <w:jc w:val="left"/>
        <w:rPr>
          <w:rFonts w:eastAsiaTheme="majorEastAsia" w:cstheme="majorBidi"/>
          <w:b/>
          <w:sz w:val="24"/>
          <w:szCs w:val="32"/>
        </w:rPr>
      </w:pPr>
      <w:r w:rsidRPr="00EC14DE">
        <w:br w:type="page"/>
      </w:r>
    </w:p>
    <w:p w14:paraId="023989DA" w14:textId="77777777" w:rsidR="00865EF3" w:rsidRPr="00EC14DE" w:rsidRDefault="006A0548" w:rsidP="007C594F">
      <w:pPr>
        <w:pStyle w:val="Titolo1"/>
        <w:keepNext w:val="0"/>
        <w:keepLines w:val="0"/>
        <w:widowControl w:val="0"/>
      </w:pPr>
      <w:r w:rsidRPr="00EC14DE">
        <w:t xml:space="preserve">Titolo </w:t>
      </w:r>
      <w:r w:rsidR="00B311CA" w:rsidRPr="00EC14DE">
        <w:t>XV</w:t>
      </w:r>
      <w:r w:rsidR="0056096A" w:rsidRPr="00EC14DE">
        <w:br/>
      </w:r>
      <w:r w:rsidR="00FF3662" w:rsidRPr="00EC14DE">
        <w:t>F</w:t>
      </w:r>
      <w:r w:rsidR="00CB6AC6" w:rsidRPr="00EC14DE">
        <w:t>ondi</w:t>
      </w:r>
    </w:p>
    <w:p w14:paraId="746A1AC0" w14:textId="77777777" w:rsidR="0038578E" w:rsidRPr="00EC14DE" w:rsidRDefault="00B33C29"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157FC7" w:rsidRPr="00EC14DE">
        <w:t xml:space="preserve">Fondo per il finanziamento dei provvedimenti legislativi –parte </w:t>
      </w:r>
      <w:r w:rsidRPr="00EC14DE">
        <w:t>corrente/conto capitale)</w:t>
      </w:r>
      <w:r w:rsidR="00EC24C0" w:rsidRPr="00EC14DE">
        <w:t xml:space="preserve"> </w:t>
      </w:r>
    </w:p>
    <w:p w14:paraId="25913E8D" w14:textId="77777777" w:rsidR="00343D88" w:rsidRPr="00EC14DE" w:rsidRDefault="00343D88" w:rsidP="007C594F">
      <w:pPr>
        <w:widowControl w:val="0"/>
        <w:rPr>
          <w:rFonts w:cs="Times New Roman"/>
        </w:rPr>
      </w:pPr>
      <w:r w:rsidRPr="00EC14DE">
        <w:rPr>
          <w:rFonts w:cs="Times New Roman"/>
        </w:rPr>
        <w:t>1. Gli importi da iscrivere nei fondi speciali di cui all’articolo 21, comma 1-ter, lettera d), della legge 31 dicembre 2009, n. 196, per il finanziamento dei provvedimenti legislativi che si prevede possano essere approvati nel triennio 2022-2024, sono determinati, per ciascuno degli anni 2022, 2023 e 2</w:t>
      </w:r>
      <w:r w:rsidR="00E150E5" w:rsidRPr="00EC14DE">
        <w:rPr>
          <w:rFonts w:cs="Times New Roman"/>
        </w:rPr>
        <w:t>024, nelle misure indicate dagli</w:t>
      </w:r>
      <w:r w:rsidRPr="00EC14DE">
        <w:rPr>
          <w:rFonts w:cs="Times New Roman"/>
        </w:rPr>
        <w:t xml:space="preserve"> </w:t>
      </w:r>
      <w:r w:rsidR="0080514E" w:rsidRPr="00EC14DE">
        <w:rPr>
          <w:rFonts w:cs="Times New Roman"/>
          <w:b/>
        </w:rPr>
        <w:t>allegati 7 e 8</w:t>
      </w:r>
      <w:r w:rsidR="00E150E5" w:rsidRPr="00EC14DE">
        <w:rPr>
          <w:rFonts w:cs="Times New Roman"/>
          <w:b/>
        </w:rPr>
        <w:t xml:space="preserve"> </w:t>
      </w:r>
      <w:r w:rsidR="00E150E5" w:rsidRPr="00EC14DE">
        <w:rPr>
          <w:rFonts w:cs="Times New Roman"/>
        </w:rPr>
        <w:t>annessi</w:t>
      </w:r>
      <w:r w:rsidRPr="00EC14DE">
        <w:rPr>
          <w:rFonts w:cs="Times New Roman"/>
        </w:rPr>
        <w:t xml:space="preserve"> alla presente legge.</w:t>
      </w:r>
    </w:p>
    <w:p w14:paraId="501968EF" w14:textId="77777777" w:rsidR="00EC24C0" w:rsidRPr="00EC14DE" w:rsidRDefault="00EC24C0"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806F1F" w:rsidRPr="00EC14DE">
        <w:t>Fondo esigenze indifferibili</w:t>
      </w:r>
      <w:r w:rsidRPr="00EC14DE">
        <w:t>)</w:t>
      </w:r>
    </w:p>
    <w:p w14:paraId="79DB7E20" w14:textId="77777777" w:rsidR="00DD59F3" w:rsidRPr="00EC14DE" w:rsidRDefault="00DD59F3" w:rsidP="00806F1F">
      <w:pPr>
        <w:pStyle w:val="wordsection1"/>
        <w:widowControl w:val="0"/>
        <w:autoSpaceDE w:val="0"/>
        <w:autoSpaceDN w:val="0"/>
        <w:jc w:val="both"/>
        <w:rPr>
          <w:sz w:val="22"/>
          <w:szCs w:val="22"/>
        </w:rPr>
      </w:pPr>
      <w:r w:rsidRPr="00EC14DE">
        <w:rPr>
          <w:sz w:val="22"/>
          <w:szCs w:val="22"/>
        </w:rPr>
        <w:t xml:space="preserve">1. Il Fondo di cui all’articolo 1, comma 200, della legge 23 dicembre 2014, n. 190, è incrementato di </w:t>
      </w:r>
      <w:r w:rsidR="00E8349E" w:rsidRPr="00EC14DE">
        <w:rPr>
          <w:sz w:val="22"/>
          <w:szCs w:val="22"/>
        </w:rPr>
        <w:t>600 milioni di euro per l’anno 2022 e 500 milioni di euro annui a decorrere dall’anno 2023</w:t>
      </w:r>
      <w:r w:rsidRPr="00EC14DE">
        <w:rPr>
          <w:sz w:val="22"/>
          <w:szCs w:val="22"/>
        </w:rPr>
        <w:t>.</w:t>
      </w:r>
    </w:p>
    <w:p w14:paraId="748281A4" w14:textId="77777777" w:rsidR="00806F1F" w:rsidRPr="00EC14DE" w:rsidRDefault="00806F1F" w:rsidP="00102CB4">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w:t>
      </w:r>
      <w:r w:rsidR="00102CB4" w:rsidRPr="00EC14DE">
        <w:t>Fondo di rotazione per l'attuazione del Next Generation EU-Italia)</w:t>
      </w:r>
    </w:p>
    <w:p w14:paraId="4DB45FB2" w14:textId="77777777" w:rsidR="00102CB4" w:rsidRPr="00EC14DE" w:rsidRDefault="00102CB4" w:rsidP="005C511D">
      <w:pPr>
        <w:widowControl w:val="0"/>
        <w:spacing w:after="160"/>
        <w:rPr>
          <w:rFonts w:cs="Times New Roman"/>
        </w:rPr>
      </w:pPr>
      <w:r w:rsidRPr="00EC14DE">
        <w:rPr>
          <w:rFonts w:cs="Times New Roman"/>
        </w:rPr>
        <w:t>1. L’articolo 1, comma 1037, della legge 30 dicembre 2020, n. 178 è sostituito dal seguente “Per l'attuazione del programma Next Generation EU è istituito, nello stato di previsione del Ministero dell'economia e delle finanze, quale anticipazione rispetto ai contributi provenienti dall'Unione europea, il Fondo di rotazione per l'attuazione del Next Generation EU-Italia, con una dotazione di 32.766,6 milioni di euro per l'anno 2021, di 50.307,4 milioni di euro per l'anno 2022 e di 53.623 milioni di euro per l'anno 2023.”.</w:t>
      </w:r>
    </w:p>
    <w:p w14:paraId="1BC817E4" w14:textId="77777777" w:rsidR="00EC24C0" w:rsidRPr="00EC14DE" w:rsidRDefault="00F94AA5" w:rsidP="00F94AA5">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 xml:space="preserve">(Fondo per interventi </w:t>
      </w:r>
      <w:r w:rsidR="00D7048D" w:rsidRPr="00EC14DE">
        <w:t>in materia di magistratura</w:t>
      </w:r>
      <w:r w:rsidRPr="00EC14DE">
        <w:t xml:space="preserve"> onoraria) </w:t>
      </w:r>
    </w:p>
    <w:p w14:paraId="664952B4" w14:textId="77777777" w:rsidR="00D7048D" w:rsidRPr="00EC14DE" w:rsidRDefault="00D7048D" w:rsidP="00D7048D">
      <w:r w:rsidRPr="00EC14DE">
        <w:t>1. Ai fini dell’attuazione di interventi tesi alla disciplina della magistratura onoraria di cui al decreto legislativo 13 luglio 2017, n. 116, in funzione dell’efficienza del sistema giustizia, attraverso misure coerenti con le sollecitazioni sovranazionali e nel rispetto dei limiti imposti dall’ordinamento interno, nello stato di previsione del Ministero della giustizia è istituito un fondo con una dotazione di euro 1.000.000 per l’anno 2022, di euro 18.000.000 per l’anno 2023, di euro 58.000.000 per l’anno 2024, di euro 85.000.000 per l’anno 2025, di euro 80.000.000 per l’anno 2026, di euro 77.000.000 per l’anno 2027, di euro 70.000.000 per l’anno 2028, di euro 63.000.000 per l’anno 2029, di euro 62.000.000 per l’anno 2030, di euro 53.000.000 per l’anno 2031 e di euro 47.000.000 a decorrere dall’anno 2032.</w:t>
      </w:r>
    </w:p>
    <w:p w14:paraId="25F6AB2B" w14:textId="77777777" w:rsidR="00F94AA5" w:rsidRPr="00EC14DE" w:rsidRDefault="00F94AA5">
      <w:pPr>
        <w:spacing w:after="160" w:line="259" w:lineRule="auto"/>
        <w:jc w:val="left"/>
        <w:rPr>
          <w:rFonts w:eastAsiaTheme="majorEastAsia" w:cstheme="majorBidi"/>
          <w:b/>
          <w:sz w:val="24"/>
          <w:szCs w:val="32"/>
        </w:rPr>
      </w:pPr>
      <w:r w:rsidRPr="00EC14DE">
        <w:br w:type="page"/>
      </w:r>
    </w:p>
    <w:p w14:paraId="03115A0E" w14:textId="77777777" w:rsidR="001719BD" w:rsidRPr="00EC14DE" w:rsidRDefault="001719BD" w:rsidP="007C594F">
      <w:pPr>
        <w:pStyle w:val="Titolo1"/>
        <w:keepNext w:val="0"/>
        <w:keepLines w:val="0"/>
        <w:widowControl w:val="0"/>
      </w:pPr>
      <w:r w:rsidRPr="00EC14DE">
        <w:t xml:space="preserve">Titolo </w:t>
      </w:r>
      <w:r w:rsidR="00C91704" w:rsidRPr="00EC14DE">
        <w:t>XV</w:t>
      </w:r>
      <w:r w:rsidR="0085155B" w:rsidRPr="00EC14DE">
        <w:t>I</w:t>
      </w:r>
      <w:r w:rsidRPr="00EC14DE">
        <w:br/>
        <w:t>D</w:t>
      </w:r>
      <w:r w:rsidR="00CB6AC6" w:rsidRPr="00EC14DE">
        <w:t>isposizioni finanziarie e finali</w:t>
      </w:r>
    </w:p>
    <w:p w14:paraId="4BB87EDC" w14:textId="77777777" w:rsidR="001719BD" w:rsidRPr="00EC14DE" w:rsidRDefault="001719BD"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w:t>
      </w:r>
      <w:r w:rsidR="001620D2" w:rsidRPr="00EC14DE">
        <w:t>Fondo per la r</w:t>
      </w:r>
      <w:r w:rsidRPr="00EC14DE">
        <w:t>egolazione contabile</w:t>
      </w:r>
      <w:r w:rsidR="00CB0D30" w:rsidRPr="00EC14DE">
        <w:t xml:space="preserve"> delle Sovvenzioni del Tesoro alle Poste</w:t>
      </w:r>
      <w:r w:rsidRPr="00EC14DE">
        <w:t xml:space="preserve">) </w:t>
      </w:r>
    </w:p>
    <w:p w14:paraId="7FE7AB77" w14:textId="77777777" w:rsidR="004E508A" w:rsidRPr="00EC14DE" w:rsidRDefault="004E508A" w:rsidP="007C594F">
      <w:pPr>
        <w:widowControl w:val="0"/>
      </w:pPr>
      <w:r w:rsidRPr="00EC14DE">
        <w:t xml:space="preserve">1. Nello stato di previsione del Ministero dell’economia e delle finanze è istituito un apposito Fondo, con una dotazione di </w:t>
      </w:r>
      <w:r w:rsidR="00CD66A1" w:rsidRPr="00EC14DE">
        <w:t>4.300</w:t>
      </w:r>
      <w:r w:rsidR="00C91737" w:rsidRPr="00EC14DE">
        <w:t xml:space="preserve"> milioni di euro </w:t>
      </w:r>
      <w:r w:rsidR="00311831" w:rsidRPr="00EC14DE">
        <w:t>per l’a</w:t>
      </w:r>
      <w:r w:rsidR="00C91737" w:rsidRPr="00EC14DE">
        <w:t>nn</w:t>
      </w:r>
      <w:r w:rsidR="00311831" w:rsidRPr="00EC14DE">
        <w:t>o</w:t>
      </w:r>
      <w:r w:rsidR="00C91737" w:rsidRPr="00EC14DE">
        <w:t xml:space="preserve"> 2022</w:t>
      </w:r>
      <w:r w:rsidR="00311831" w:rsidRPr="00EC14DE">
        <w:t>, 4.500 milioni di euro per ciascuno degli anni 2023 e 2024, 3.000 milioni di euro annui per ciascuno degli anni</w:t>
      </w:r>
      <w:r w:rsidR="00C91737" w:rsidRPr="00EC14DE">
        <w:t xml:space="preserve"> </w:t>
      </w:r>
      <w:r w:rsidR="00311831" w:rsidRPr="00EC14DE">
        <w:t xml:space="preserve">dal 2025 </w:t>
      </w:r>
      <w:r w:rsidR="00C91737" w:rsidRPr="00EC14DE">
        <w:t>al 203</w:t>
      </w:r>
      <w:r w:rsidR="00311831" w:rsidRPr="00EC14DE">
        <w:t>0, 1.000 milioni di euro per l’anno 2031</w:t>
      </w:r>
      <w:r w:rsidR="00C91737" w:rsidRPr="00EC14DE">
        <w:t xml:space="preserve"> e </w:t>
      </w:r>
      <w:r w:rsidR="00A10222" w:rsidRPr="00EC14DE">
        <w:t xml:space="preserve">di </w:t>
      </w:r>
      <w:r w:rsidR="00CD66A1" w:rsidRPr="00EC14DE">
        <w:t>1.320,629 milioni di euro per l’anno 2032</w:t>
      </w:r>
      <w:r w:rsidR="00C91737" w:rsidRPr="00EC14DE">
        <w:t>,</w:t>
      </w:r>
      <w:r w:rsidRPr="00EC14DE">
        <w:t xml:space="preserve"> destinato alla sistemazione contabile delle partite iscritte al conto sospeso, derivanti dal pagamento tramite il canale postale delle pensioni gestite dall’INPS mediante il ricorso ad anticipazioni di tesoreria, ai sensi dell’articolo 16, terzo comma, della legge 12 agosto 1974, n. 370. Al fine di accelerare l'estinzione delle partite iscritte al conto sospeso, le medesime risorse sono assegnate direttamente all'Istituto cui è affidato il servizio di tesoreria dello Stato, il quale provvede alle relative sistemazioni fornendo all’INPS e al Ministero dell’economia e delle finanze ogni elemento informativo utile delle operazioni effettuate di individuazione e regolazione di ciascuna partita. </w:t>
      </w:r>
    </w:p>
    <w:p w14:paraId="75A9FA80" w14:textId="77777777" w:rsidR="004E508A" w:rsidRPr="00EC14DE" w:rsidRDefault="004E508A" w:rsidP="007C594F">
      <w:pPr>
        <w:widowControl w:val="0"/>
      </w:pPr>
      <w:r w:rsidRPr="00EC14DE">
        <w:t xml:space="preserve">2. A seguito dell’avvenuta regolazione contabile di cui al comma 1, l’INPS è autorizzato a contabilizzare nel proprio bilancio la riduzione graduale del debito nei confronti della tesoreria statale. </w:t>
      </w:r>
      <w:r w:rsidR="00A10222" w:rsidRPr="00EC14DE">
        <w:t>Con la procedura di cui all'articolo 14 della legge 7 agosto 1990, n. 241, sono definiti i criteri e le gestioni previdenziali a cui attribuire le regolazioni contabili.</w:t>
      </w:r>
    </w:p>
    <w:p w14:paraId="14FBED86" w14:textId="77777777" w:rsidR="00B2225E" w:rsidRPr="00EC14DE" w:rsidRDefault="00B2225E"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(Proroga del termine di sospensione del sistema di tesoreria unica mista di cui all’articolo 7 del decreto legislativo 7 agosto 1997, n. 279)</w:t>
      </w:r>
    </w:p>
    <w:p w14:paraId="1FD3EC3F" w14:textId="77777777" w:rsidR="00B2225E" w:rsidRPr="00EC14DE" w:rsidRDefault="00B2225E" w:rsidP="007C594F">
      <w:pPr>
        <w:widowControl w:val="0"/>
        <w:autoSpaceDE w:val="0"/>
        <w:autoSpaceDN w:val="0"/>
      </w:pPr>
      <w:r w:rsidRPr="00EC14DE">
        <w:t>1. All’articolo 35, comma 8 del decreto legge 24 gennaio 2012, n. 1, convertito con modificazioni dalla legge 24 marzo 2012, n. 27, già modificato dall’articolo 1, comma 395, della Legge 23 dicembre 2014, n. 190 e dall’articolo 1, comma 877, della Legge 27 dicembre 2017, n. 205, le parole “31 dicembre 2021” sono sostituite con le seguenti: “31 dicembre 2025”.</w:t>
      </w:r>
    </w:p>
    <w:p w14:paraId="201AFA11" w14:textId="77777777" w:rsidR="00A720C6" w:rsidRPr="00EC14DE" w:rsidRDefault="00A720C6" w:rsidP="00EC14DE">
      <w:pPr>
        <w:pStyle w:val="Titolo3"/>
      </w:pPr>
      <w:r w:rsidRPr="00EC14DE">
        <w:t xml:space="preserve">ART. </w:t>
      </w:r>
      <w:r w:rsidRPr="00EC14DE">
        <w:fldChar w:fldCharType="begin"/>
      </w:r>
      <w:r w:rsidRPr="00EC14DE">
        <w:instrText xml:space="preserve"> AUTONUM  \* Arabic </w:instrText>
      </w:r>
      <w:r w:rsidRPr="00EC14DE">
        <w:fldChar w:fldCharType="end"/>
      </w:r>
      <w:r w:rsidRPr="00EC14DE">
        <w:br/>
        <w:t xml:space="preserve">(Modifiche all’articolo 1, commi 289-bis, 289-ter e 290, della legge 27 dicembre 2019, n. 160 e al decreto del Ministro dell’Economia e delle Finanze del 24 novembre 2020, n. 156) </w:t>
      </w:r>
    </w:p>
    <w:p w14:paraId="45F81519" w14:textId="77777777" w:rsidR="00A720C6" w:rsidRPr="00EC14DE" w:rsidRDefault="00A720C6" w:rsidP="007C594F">
      <w:pPr>
        <w:widowControl w:val="0"/>
        <w:rPr>
          <w:rFonts w:cs="Times New Roman"/>
          <w:szCs w:val="24"/>
        </w:rPr>
      </w:pPr>
      <w:r w:rsidRPr="00EC14DE">
        <w:rPr>
          <w:rFonts w:cs="Times New Roman"/>
          <w:szCs w:val="24"/>
        </w:rPr>
        <w:t>1. All’articolo 1, comma 289-bis, secondo periodo, della legge 27 dicembre 2019, n. 160, le parole “per ciascuno degli anni 2021 e 2022” sono sostituite dalle seguenti “per l’anno 2021”.</w:t>
      </w:r>
    </w:p>
    <w:p w14:paraId="594E3F64" w14:textId="77777777" w:rsidR="00A720C6" w:rsidRPr="00EC14DE" w:rsidRDefault="00A720C6" w:rsidP="007C594F">
      <w:pPr>
        <w:widowControl w:val="0"/>
        <w:rPr>
          <w:rFonts w:cs="Times New Roman"/>
          <w:szCs w:val="24"/>
        </w:rPr>
      </w:pPr>
      <w:r w:rsidRPr="00EC14DE">
        <w:rPr>
          <w:rFonts w:cs="Times New Roman"/>
          <w:szCs w:val="24"/>
        </w:rPr>
        <w:t>2. All’articolo 1, comma 289-ter, secondo periodo, della legge 27 dicembre 2019, n. 160, le parole “per ciascuno degli anni 2021 e 2022” sono sostituite dalle seguenti “per l’anno 2021”.</w:t>
      </w:r>
    </w:p>
    <w:p w14:paraId="29E2BAF8" w14:textId="77777777" w:rsidR="00A720C6" w:rsidRPr="00EC14DE" w:rsidRDefault="00A720C6" w:rsidP="007C594F">
      <w:pPr>
        <w:widowControl w:val="0"/>
        <w:rPr>
          <w:rFonts w:cs="Times New Roman"/>
          <w:szCs w:val="24"/>
        </w:rPr>
      </w:pPr>
      <w:r w:rsidRPr="00EC14DE">
        <w:rPr>
          <w:rFonts w:cs="Times New Roman"/>
          <w:szCs w:val="24"/>
        </w:rPr>
        <w:t>3. All’articolo 1, comma 290, della legge 27 dicembre 2019, n. 160, le parole “per gli anni 2021 e 2022” sono sostituite dalle seguenti “per l’anno 2021”.</w:t>
      </w:r>
    </w:p>
    <w:p w14:paraId="7A2B7530" w14:textId="77777777" w:rsidR="00A720C6" w:rsidRPr="00EC14DE" w:rsidRDefault="00A720C6" w:rsidP="007C594F">
      <w:pPr>
        <w:widowControl w:val="0"/>
        <w:rPr>
          <w:rFonts w:cs="Times New Roman"/>
          <w:szCs w:val="24"/>
        </w:rPr>
      </w:pPr>
      <w:r w:rsidRPr="00EC14DE">
        <w:rPr>
          <w:rFonts w:cs="Times New Roman"/>
          <w:szCs w:val="24"/>
        </w:rPr>
        <w:t xml:space="preserve">4. Il programma di attribuzione di rimborsi in denaro per acquisti effettuati mediante l’utilizzo di strumenti di pagamento elettronici disciplinato dal decreto del Ministero dell'economia e delle Finanze del 24 novembre 2020, n. 156 si conclude il 31 dicembre 2021, ferma restando la sospensione del programma per il periodo di cui all’articolo 6, comma 2, lettera b). Pertanto, la lettera c) dell’art. 6, comma 2 del predetto decreto è abrogata. </w:t>
      </w:r>
    </w:p>
    <w:p w14:paraId="703B9C02" w14:textId="77777777" w:rsidR="00A720C6" w:rsidRPr="00EC14DE" w:rsidRDefault="00A720C6" w:rsidP="007C594F">
      <w:pPr>
        <w:widowControl w:val="0"/>
        <w:rPr>
          <w:rFonts w:cs="Times New Roman"/>
          <w:szCs w:val="24"/>
        </w:rPr>
      </w:pPr>
      <w:r w:rsidRPr="00EC14DE">
        <w:rPr>
          <w:rFonts w:cs="Times New Roman"/>
          <w:szCs w:val="24"/>
        </w:rPr>
        <w:t>5. L'articolo 8 del decreto del Ministro dell'economia e delle finanze 24 novembre 2020, n.  156, si applica esclusivamente per il periodo di cui all'articolo 6, comma 2, lettere a).</w:t>
      </w:r>
    </w:p>
    <w:p w14:paraId="39DCF662" w14:textId="77777777" w:rsidR="00A720C6" w:rsidRPr="00EC14DE" w:rsidRDefault="00A720C6" w:rsidP="007C594F">
      <w:pPr>
        <w:widowControl w:val="0"/>
        <w:rPr>
          <w:rFonts w:cs="Times New Roman"/>
          <w:szCs w:val="24"/>
        </w:rPr>
      </w:pPr>
      <w:r w:rsidRPr="00EC14DE">
        <w:rPr>
          <w:rFonts w:cs="Times New Roman"/>
          <w:szCs w:val="24"/>
        </w:rPr>
        <w:t xml:space="preserve">6. Le Convenzioni stipulate dal Ministero dell’economia e delle finanze con PagoPa S.p.A. e con Consap – Concessionaria servizi assicurativi S.p.A. ai sensi dell’articolo 1, commi 289-bis e 289-ter della </w:t>
      </w:r>
      <w:r w:rsidR="00C44B75" w:rsidRPr="00EC14DE">
        <w:rPr>
          <w:rFonts w:cs="Times New Roman"/>
          <w:szCs w:val="24"/>
        </w:rPr>
        <w:t>legge 27 dicembre 2019, n. 160</w:t>
      </w:r>
      <w:r w:rsidRPr="00EC14DE">
        <w:rPr>
          <w:rFonts w:cs="Times New Roman"/>
          <w:szCs w:val="24"/>
        </w:rPr>
        <w:t xml:space="preserve"> sono risolte, in relazione a quanto disposto dal presente articolo, a decorrere dal completamento delle operazioni di rimborso cashback e rimborso speciale di cui agli articoli 6 e 8 relativamente al periodo di cui all’articolo 6, comma 2, lettera a) del decreto del Ministero dell’economia e delle finanze del 24 novembre 2020, n. 156. Sono, in ogni caso, fatti salvi gli obblighi a carico di PagoPa S.p.A. e Consap - Concessionaria servizi assicurativi S.p.A. relativi alla gestione delle controversie derivanti dall’attuazione del programma cashback, come disciplinati dalle predette Convenzioni stipulate dal Ministero dell’economia e delle finanze con le medesime PagoPa S.p.A. e Consap. </w:t>
      </w:r>
    </w:p>
    <w:p w14:paraId="6CE4D89A" w14:textId="77777777" w:rsidR="00A720C6" w:rsidRPr="00EC14DE" w:rsidRDefault="00A720C6" w:rsidP="007C594F">
      <w:pPr>
        <w:widowControl w:val="0"/>
        <w:rPr>
          <w:rFonts w:cs="Times New Roman"/>
          <w:szCs w:val="24"/>
        </w:rPr>
      </w:pPr>
      <w:r w:rsidRPr="00EC14DE">
        <w:rPr>
          <w:rFonts w:cs="Times New Roman"/>
          <w:szCs w:val="24"/>
        </w:rPr>
        <w:t>7. Sono abrogate tutte le disposizioni del decreto del Ministro dell'economia e delle finanze 24 novembre 2020, n. 156, e del decreto-legge 30 giugno 2021, n. 99, convertito</w:t>
      </w:r>
      <w:r w:rsidR="00072B76" w:rsidRPr="00EC14DE">
        <w:rPr>
          <w:rFonts w:cs="Times New Roman"/>
          <w:szCs w:val="24"/>
        </w:rPr>
        <w:t xml:space="preserve">, con modificazioni, dalla </w:t>
      </w:r>
      <w:r w:rsidRPr="00EC14DE">
        <w:rPr>
          <w:rFonts w:cs="Times New Roman"/>
          <w:szCs w:val="24"/>
        </w:rPr>
        <w:t xml:space="preserve">legge 23 luglio 2021, n. 106, incompatibili con le disposizioni del presente articolo. </w:t>
      </w:r>
    </w:p>
    <w:p w14:paraId="22568555" w14:textId="77777777" w:rsidR="003C3AA6" w:rsidRPr="00EC14DE" w:rsidRDefault="003C3AA6" w:rsidP="007C594F">
      <w:pPr>
        <w:widowControl w:val="0"/>
        <w:rPr>
          <w:rFonts w:cs="Times New Roman"/>
          <w:szCs w:val="24"/>
        </w:rPr>
      </w:pPr>
      <w:r w:rsidRPr="00EC14DE">
        <w:rPr>
          <w:rFonts w:cs="Times New Roman"/>
          <w:szCs w:val="24"/>
        </w:rPr>
        <w:t>8. Al fine dell’applicazione delle disposizioni di cui al comma 6 è istituito presso lo stato di previsione del Ministero dell’economia e delle finanze un apposito fondo con una dotazione di 3 milioni di euro per l’anno 2022.</w:t>
      </w:r>
    </w:p>
    <w:p w14:paraId="6C45CB3E" w14:textId="77777777" w:rsidR="00EC14DE" w:rsidRPr="00EC14DE" w:rsidRDefault="00EC14DE">
      <w:pPr>
        <w:spacing w:after="160" w:line="259" w:lineRule="auto"/>
        <w:jc w:val="left"/>
        <w:rPr>
          <w:rFonts w:eastAsiaTheme="majorEastAsia" w:cstheme="majorBidi"/>
          <w:b/>
          <w:sz w:val="24"/>
          <w:szCs w:val="32"/>
        </w:rPr>
      </w:pPr>
      <w:r w:rsidRPr="00EC14DE">
        <w:br w:type="page"/>
      </w:r>
    </w:p>
    <w:p w14:paraId="4C9300A9" w14:textId="77777777" w:rsidR="005C3CBB" w:rsidRPr="00EC14DE" w:rsidRDefault="00ED5317" w:rsidP="007C594F">
      <w:pPr>
        <w:pStyle w:val="Titolo1"/>
        <w:keepNext w:val="0"/>
        <w:keepLines w:val="0"/>
        <w:widowControl w:val="0"/>
      </w:pPr>
      <w:r w:rsidRPr="00EC14DE">
        <w:t>SEZIONE II – STATI DI PREVISIONE</w:t>
      </w:r>
    </w:p>
    <w:p w14:paraId="3E8D260A" w14:textId="77777777" w:rsidR="00F54C53" w:rsidRPr="00EC14DE" w:rsidRDefault="00F54C53"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(Stato di previsione dell'entrata)</w:t>
      </w:r>
    </w:p>
    <w:p w14:paraId="47F934E2" w14:textId="77777777" w:rsidR="00413324" w:rsidRPr="00EC14DE" w:rsidRDefault="00F54C53" w:rsidP="007C594F">
      <w:pPr>
        <w:widowControl w:val="0"/>
        <w:spacing w:after="120"/>
        <w:ind w:firstLine="284"/>
        <w:rPr>
          <w:rFonts w:eastAsia="Times New Roman" w:cs="Times New Roman"/>
        </w:rPr>
      </w:pPr>
      <w:r w:rsidRPr="00EC14DE">
        <w:rPr>
          <w:rFonts w:eastAsia="Times New Roman" w:cs="Times New Roman"/>
        </w:rPr>
        <w:t xml:space="preserve">1. </w:t>
      </w:r>
      <w:r w:rsidR="00413324" w:rsidRPr="00EC14DE">
        <w:rPr>
          <w:rFonts w:eastAsia="Times New Roman" w:cs="Times New Roman"/>
        </w:rPr>
        <w:t>1. L'ammontare delle entrate previste per l'anno finanziario 2022, relative a imposte, tasse, contributi di ogni specie e ogni altro provento, accertate, riscosse e versate nelle casse dello Stato, in virtù di leggi, decreti, regolamenti e ogni altro titolo, risulta dall'annesso stato di previsione dell'entrata (Tabella n. 1).</w:t>
      </w:r>
    </w:p>
    <w:p w14:paraId="3E6EA77B" w14:textId="77777777" w:rsidR="00F54C53" w:rsidRPr="00EC14DE" w:rsidRDefault="00F54C53"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(Stato di previsione del Ministero dell'economia e delle finanze e disposizioni relative)</w:t>
      </w:r>
    </w:p>
    <w:p w14:paraId="361BEA4F" w14:textId="77777777" w:rsidR="00CD645C" w:rsidRPr="00EC14DE" w:rsidRDefault="00CD645C" w:rsidP="007C594F">
      <w:pPr>
        <w:widowControl w:val="0"/>
        <w:rPr>
          <w:rFonts w:eastAsia="Times New Roman" w:cs="Times New Roman"/>
        </w:rPr>
      </w:pPr>
      <w:r w:rsidRPr="00EC14DE">
        <w:rPr>
          <w:rFonts w:eastAsia="Times New Roman" w:cs="Times New Roman"/>
        </w:rPr>
        <w:t>1. Sono autorizzati l'impegno e il pagamento delle spese del Ministero dell'economia e delle finanze, per l'anno finanziario 2022, in conformità all'annesso stato di previsione (Tabella n. 2).</w:t>
      </w:r>
    </w:p>
    <w:p w14:paraId="67F89D42" w14:textId="77777777" w:rsidR="00CD645C" w:rsidRPr="00EC14DE" w:rsidRDefault="00CD645C" w:rsidP="007C594F">
      <w:pPr>
        <w:widowControl w:val="0"/>
        <w:rPr>
          <w:rFonts w:eastAsia="Times New Roman" w:cs="Times New Roman"/>
        </w:rPr>
      </w:pPr>
      <w:r w:rsidRPr="00EC14DE">
        <w:rPr>
          <w:rFonts w:eastAsia="Times New Roman" w:cs="Times New Roman"/>
        </w:rPr>
        <w:t>2. L'importo massimo di emissione di titoli pubblici, in Italia e all'estero, al netto di quelli da rimborsare e di quelli per regolazioni debitorie, è stabilito, per l’anno 2022, in 110.000 milioni di euro.</w:t>
      </w:r>
    </w:p>
    <w:p w14:paraId="47B5CE88" w14:textId="77777777" w:rsidR="00CD645C" w:rsidRPr="00EC14DE" w:rsidRDefault="00CD645C" w:rsidP="007C594F">
      <w:pPr>
        <w:widowControl w:val="0"/>
        <w:rPr>
          <w:rFonts w:eastAsia="Times New Roman" w:cs="Times New Roman"/>
        </w:rPr>
      </w:pPr>
      <w:r w:rsidRPr="00EC14DE">
        <w:rPr>
          <w:rFonts w:eastAsia="Times New Roman" w:cs="Times New Roman"/>
        </w:rPr>
        <w:t>3. I limiti di cui all'articolo 6, comma 9, del decreto-legge 30 settembre 2003, n. 269, convertito, con modificazioni, dalla legge 24 novembre 2003, n. 326, concernente gli impegni assumibili dalla SACE Spa - Servizi assicurativi del commercio estero, sono fissati, per l'anno finanziario 2022, rispettivamente, in 4.000 milioni di euro per le garanzie di durata sino a ventiquattro mesi e in 26.000 milioni di euro per le garanzie di durata superiore a ventiquattro mesi.</w:t>
      </w:r>
    </w:p>
    <w:p w14:paraId="24C12447" w14:textId="77777777" w:rsidR="00CD645C" w:rsidRPr="00EC14DE" w:rsidRDefault="00CD645C" w:rsidP="007C594F">
      <w:pPr>
        <w:widowControl w:val="0"/>
        <w:rPr>
          <w:rFonts w:eastAsia="Times New Roman" w:cs="Times New Roman"/>
        </w:rPr>
      </w:pPr>
      <w:r w:rsidRPr="00EC14DE">
        <w:rPr>
          <w:rFonts w:eastAsia="Times New Roman" w:cs="Times New Roman"/>
        </w:rPr>
        <w:t>4. La SACE Spa è altresì autorizzata, per l'anno finanziario 2022, a rilasciare garanzie e coperture assicurative relativamente alle attività di cui all'articolo 11-quinquies, comma 4, del decreto-legge 14 marzo 2005, n. 35, convertito, con modificazioni, dalla legge 14 maggio 2005, n. 80, entro una quota massima del 30 per cento di ciascuno dei limiti indicati al comma 3 del presente articolo.</w:t>
      </w:r>
    </w:p>
    <w:p w14:paraId="20998EB6" w14:textId="77777777" w:rsidR="00CD645C" w:rsidRPr="00EC14DE" w:rsidRDefault="00CD645C" w:rsidP="007C594F">
      <w:pPr>
        <w:widowControl w:val="0"/>
        <w:rPr>
          <w:rFonts w:eastAsia="Times New Roman" w:cs="Times New Roman"/>
        </w:rPr>
      </w:pPr>
      <w:r w:rsidRPr="00EC14DE">
        <w:rPr>
          <w:rFonts w:eastAsia="Times New Roman" w:cs="Times New Roman"/>
        </w:rPr>
        <w:t>5. Il limite cumulato di assunzione degli impegni da parte di SACE spa e del Ministero dell'economia e delle finanze, per conto dello Stato, di cui all’articolo 6, comma 9-bis del decreto-legge 30 settembre 2003, n. 269, convertito, con modificazioni, dalla legge 24 novembre 2003, n. 326, è fissato, per l’esercizio finanziario 2022, in 120.000 milioni di euro.</w:t>
      </w:r>
    </w:p>
    <w:p w14:paraId="3E04AA91" w14:textId="77777777" w:rsidR="00CD645C" w:rsidRPr="00EC14DE" w:rsidRDefault="00CD645C" w:rsidP="007C594F">
      <w:pPr>
        <w:widowControl w:val="0"/>
        <w:rPr>
          <w:rFonts w:eastAsia="Times New Roman" w:cs="Times New Roman"/>
        </w:rPr>
      </w:pPr>
      <w:r w:rsidRPr="00EC14DE">
        <w:rPr>
          <w:rFonts w:eastAsia="Times New Roman" w:cs="Times New Roman"/>
        </w:rPr>
        <w:t>6. Gli importi dei fondi previsti dagli articoli 26, 27, 28 e 29 della legge 31 dicembre 2009, n. 196, inseriti nel programma «Fondi di riserva e speciali», nell'ambito della missione «Fondi da ripartire» dello stato di previsione del Ministero dell'economia e delle finanze, sono stabiliti, per l’anno finanziario 2022, rispettivamente, in 900 milioni di euro, 1.500 milioni di euro, 2.000 milioni di euro, 600 milioni di euro e 7.200 milioni di euro.</w:t>
      </w:r>
    </w:p>
    <w:p w14:paraId="54105D55" w14:textId="77777777" w:rsidR="00CD645C" w:rsidRPr="00EC14DE" w:rsidRDefault="00CD645C" w:rsidP="007C594F">
      <w:pPr>
        <w:widowControl w:val="0"/>
        <w:rPr>
          <w:rFonts w:eastAsia="Times New Roman" w:cs="Times New Roman"/>
        </w:rPr>
      </w:pPr>
      <w:r w:rsidRPr="00EC14DE">
        <w:rPr>
          <w:rFonts w:eastAsia="Times New Roman" w:cs="Times New Roman"/>
        </w:rPr>
        <w:t>7. Per gli effetti di cui all'articolo 26 della legge 31 dicembre 2009, n. 196, sono considerate spese obbligatorie, per l’anno finanziario 2022, quelle descritte nell'elenco n. 1, allegato allo stato di previsione del Ministero dell'economia e delle finanze.</w:t>
      </w:r>
    </w:p>
    <w:p w14:paraId="12D96BDC" w14:textId="77777777" w:rsidR="00CD645C" w:rsidRPr="00EC14DE" w:rsidRDefault="00CD645C" w:rsidP="007C594F">
      <w:pPr>
        <w:widowControl w:val="0"/>
        <w:rPr>
          <w:rFonts w:eastAsia="Times New Roman" w:cs="Times New Roman"/>
        </w:rPr>
      </w:pPr>
      <w:r w:rsidRPr="00EC14DE">
        <w:rPr>
          <w:rFonts w:eastAsia="Times New Roman" w:cs="Times New Roman"/>
        </w:rPr>
        <w:t>8. Le spese per le quali può esercitarsi la facoltà prevista dall'articolo 28 della legge 31 dicembre 2009, n. 196, sono indicate, per l’anno finanziario 2022, nell'elenco n. 2, allegato allo stato di previsione del Ministero dell'economia e delle finanze.</w:t>
      </w:r>
    </w:p>
    <w:p w14:paraId="3A0B9291" w14:textId="77777777" w:rsidR="00CD645C" w:rsidRPr="00EC14DE" w:rsidRDefault="00CD645C" w:rsidP="007C594F">
      <w:pPr>
        <w:widowControl w:val="0"/>
        <w:rPr>
          <w:rFonts w:eastAsia="Times New Roman" w:cs="Times New Roman"/>
        </w:rPr>
      </w:pPr>
      <w:r w:rsidRPr="00EC14DE">
        <w:rPr>
          <w:rFonts w:eastAsia="Times New Roman" w:cs="Times New Roman"/>
        </w:rPr>
        <w:t>9. Ai fini della compensazione sui fondi erogati per la mobilità sanitaria in attuazione dell'articolo 12, comma 3, lettera b), del decreto legislativo 30 dicembre 1992, n. 502, il Ragioniere generale dello Stato è autorizzato a provvedere, con propri decreti, alla riassegnazione al programma «Concorso dello Stato al finanziamento della spesa sanitaria», nell'ambito della missione «Relazioni finanziarie con le autonomie territoriali» dello stato di previsione del Ministero dell'economia e delle finanze per l'anno finanziario 2022, delle somme versate all'entrata del bilancio dello Stato dalle regioni e dalle province autonome di Trento e di Bolzano.</w:t>
      </w:r>
    </w:p>
    <w:p w14:paraId="69028EA1" w14:textId="77777777" w:rsidR="00CD645C" w:rsidRPr="00EC14DE" w:rsidRDefault="00CD645C" w:rsidP="007C594F">
      <w:pPr>
        <w:widowControl w:val="0"/>
        <w:rPr>
          <w:rFonts w:eastAsia="Times New Roman" w:cs="Times New Roman"/>
        </w:rPr>
      </w:pPr>
      <w:r w:rsidRPr="00EC14DE">
        <w:rPr>
          <w:rFonts w:eastAsia="Times New Roman" w:cs="Times New Roman"/>
        </w:rPr>
        <w:t xml:space="preserve">10. Il Ministro dell'economia e delle finanze è autorizzato a provvedere, con propri decreti, al trasferimento delle somme occorrenti per l'effettuazione delle elezioni politiche, amministrative e dei membri del Parlamento europeo spettanti all’Italia e per l'attuazione dei referendum dal programma «Fondi da assegnare», nell'ambito della missione «Fondi da ripartire» dello stato di previsione del Ministero dell'economia e delle finanze per l'anno finanziario 2022, ai competenti programmi degli stati di previsione del medesimo Ministero dell'economia e delle finanze e dei Ministeri della giustizia, degli affari esteri e della cooperazione internazionale, dell'interno e della difesa, per lo stesso anno finanziario, per l'effettuazione di spese relative a competenze spettanti ai componenti i seggi elettorali, a nomine dei presidenti di seggio e relativa notifica, a compensi per lavoro straordinario, a compensi agli estranei all'amministrazione, a missioni, a premi, a indennità e competenze varie spettanti alle Forze di polizia, a trasferte e trasporto delle Forze di polizia, a rimborsi per facilitazioni di viaggio agli elettori, a spese di ufficio, a spese telegrafiche e telefoniche, a fornitura di carta e stampa di schede, a manutenzione e acquisto di materiale elettorale, a servizio automobilistico e ad altre esigenze derivanti dall'effettuazione delle predette consultazioni elettorali. </w:t>
      </w:r>
    </w:p>
    <w:p w14:paraId="22269B0B" w14:textId="77777777" w:rsidR="00CD645C" w:rsidRPr="00EC14DE" w:rsidRDefault="00CD645C" w:rsidP="007C594F">
      <w:pPr>
        <w:widowControl w:val="0"/>
        <w:rPr>
          <w:rFonts w:eastAsia="Times New Roman" w:cs="Times New Roman"/>
        </w:rPr>
      </w:pPr>
      <w:r w:rsidRPr="00EC14DE">
        <w:rPr>
          <w:rFonts w:eastAsia="Times New Roman" w:cs="Times New Roman"/>
        </w:rPr>
        <w:t>11. Il Ministro dell'economia e delle finanze è autorizzato a trasferire, con propri decreti, per l'anno 2022, ai capitoli del titolo III (Rimborso di passività finanziarie) degli stati di previsione delle amministrazioni interessate le somme iscritte, per competenza e per cassa, nel programma «Rimborsi del debito statale», nell'ambito della missione «Debito pubblico» dello stato di previsione del Ministero dell'economia e delle finanze, in relazione agli oneri connessi alle operazioni di rimborso anticipato o di rinegoziazione dei mutui con onere a totale o parziale carico dello Stato.</w:t>
      </w:r>
    </w:p>
    <w:p w14:paraId="3E16C5B2" w14:textId="77777777" w:rsidR="00CD645C" w:rsidRPr="00EC14DE" w:rsidRDefault="00CD645C" w:rsidP="007C594F">
      <w:pPr>
        <w:widowControl w:val="0"/>
        <w:rPr>
          <w:rFonts w:eastAsia="Times New Roman" w:cs="Times New Roman"/>
        </w:rPr>
      </w:pPr>
      <w:r w:rsidRPr="00EC14DE">
        <w:rPr>
          <w:rFonts w:eastAsia="Times New Roman" w:cs="Times New Roman"/>
        </w:rPr>
        <w:t>12. Nell'elenco n. 5, allegato allo stato di previsione del Ministero dell'economia e delle finanze, sono indicate le spese per le quali si possono effettuare, per l'anno finanziario 2022, prelevamenti dal fondo a disposizione, di cui all'articolo 9, comma 4, della legge 1° dicembre 1986, n. 831, iscritto nel programma «Prevenzione e repressione delle frodi e delle violazioni agli obblighi fiscali», nell'ambito della missione «Politiche economico-finanziarie e di bilancio e tutela della finanza pubblica», nonché nel programma «Concorso della Guardia di Finanza alla sicurezza pubblica», nell'ambito della missione «Ordine pubblico e sicurezza» del medesimo stato di previsione.</w:t>
      </w:r>
    </w:p>
    <w:p w14:paraId="0AAB0932" w14:textId="77777777" w:rsidR="00CD645C" w:rsidRPr="00EC14DE" w:rsidRDefault="00CD645C" w:rsidP="007C594F">
      <w:pPr>
        <w:widowControl w:val="0"/>
        <w:rPr>
          <w:rFonts w:eastAsia="Times New Roman" w:cs="Times New Roman"/>
        </w:rPr>
      </w:pPr>
      <w:r w:rsidRPr="00EC14DE">
        <w:rPr>
          <w:rFonts w:eastAsia="Times New Roman" w:cs="Times New Roman"/>
        </w:rPr>
        <w:t>13. Il numero massimo degli ufficiali ausiliari del Corpo della guardia di finanza di cui alla lettera c) del comma 1 dell'articolo 937 del codice dell’ordinamento militare, di cui al decreto legislativo 15 marzo 2010, n. 66, da mantenere in servizio nell'anno 2022, ai sensi dell’articolo 803 del medesimo codice, è stabilito in 70 unità.</w:t>
      </w:r>
    </w:p>
    <w:p w14:paraId="5E8C7A3C" w14:textId="77777777" w:rsidR="00CD645C" w:rsidRPr="00EC14DE" w:rsidRDefault="00CD645C" w:rsidP="007C594F">
      <w:pPr>
        <w:widowControl w:val="0"/>
        <w:rPr>
          <w:rFonts w:eastAsia="Times New Roman" w:cs="Times New Roman"/>
        </w:rPr>
      </w:pPr>
      <w:r w:rsidRPr="00EC14DE">
        <w:rPr>
          <w:rFonts w:eastAsia="Times New Roman" w:cs="Times New Roman"/>
        </w:rPr>
        <w:t>14. Le somme iscritte nel bilancio autonomo della Presidenza del Consiglio dei ministri, assegnate dal CIPESS con propria delibera alle amministrazioni interessate ai sensi dell'articolo 1, comma 7, della legge 17 maggio 1999, n. 144, per l'anno finanziario 2022, destinate alla costituzione di unità tecniche di supporto alla programmazione, alla valutazione e al monitoraggio degli investimenti pubblici, sono versate all'entrata del bilancio dello Stato per essere riassegnate, con decreti del Ragioniere generale dello Stato, negli stati di previsione delle amministrazioni medesime.</w:t>
      </w:r>
    </w:p>
    <w:p w14:paraId="4E3A3D0B" w14:textId="77777777" w:rsidR="00CD645C" w:rsidRPr="00EC14DE" w:rsidRDefault="00CD645C" w:rsidP="007C594F">
      <w:pPr>
        <w:widowControl w:val="0"/>
        <w:rPr>
          <w:rFonts w:eastAsia="Times New Roman" w:cs="Times New Roman"/>
        </w:rPr>
      </w:pPr>
      <w:r w:rsidRPr="00EC14DE">
        <w:rPr>
          <w:rFonts w:eastAsia="Times New Roman" w:cs="Times New Roman"/>
        </w:rPr>
        <w:t>15. Il Ragioniere generale dello Stato è autorizzato a provvedere, con propri decreti, per l’anno finanziario 2022, alla riassegnazione ad apposito capitolo di spesa dello stato di previsione del Ministero dell’economia e delle finanze, nella misura stabilita con proprio decreto, delle somme versate, nell'ambito della voce “Entrate derivanti dal controllo e repressione delle irregolarità e degli illeciti” dello stato di previsione dell'entrata, dalla società Equitalia Giustizia Spa a titolo di utili relativi alla gestione finanziaria del fondo di cui all’articolo 61, comma 23, del decreto-legge 25 giugno 2008, n. 112, convertito, con modificazioni, dalla legge 6 agosto 2008, n. 133.</w:t>
      </w:r>
    </w:p>
    <w:p w14:paraId="2B44A265" w14:textId="77777777" w:rsidR="00CD645C" w:rsidRPr="00EC14DE" w:rsidRDefault="00CD645C" w:rsidP="007C594F">
      <w:pPr>
        <w:widowControl w:val="0"/>
        <w:rPr>
          <w:rFonts w:eastAsia="Times New Roman" w:cs="Times New Roman"/>
        </w:rPr>
      </w:pPr>
      <w:r w:rsidRPr="00EC14DE">
        <w:rPr>
          <w:rFonts w:eastAsia="Times New Roman" w:cs="Times New Roman"/>
        </w:rPr>
        <w:t>16. Il Ministro dell’economia e delle finanze, con propri decreti, provvede, nell’anno finanziario 2022, all’adeguamento degli stanziamenti dei capitoli destinati al pagamento dei premi e delle vincite dei giochi pronostici, delle scommesse e delle lotterie, in corrispondenza con l’effettivo andamento delle relative riscossioni.</w:t>
      </w:r>
    </w:p>
    <w:p w14:paraId="0316B68A" w14:textId="77777777" w:rsidR="00CD645C" w:rsidRPr="00EC14DE" w:rsidRDefault="00CD645C" w:rsidP="007C594F">
      <w:pPr>
        <w:widowControl w:val="0"/>
        <w:rPr>
          <w:rFonts w:eastAsia="Times New Roman" w:cs="Times New Roman"/>
        </w:rPr>
      </w:pPr>
      <w:r w:rsidRPr="00EC14DE">
        <w:rPr>
          <w:rFonts w:eastAsia="Times New Roman" w:cs="Times New Roman"/>
        </w:rPr>
        <w:t xml:space="preserve">17. Il Ragioniere generale dello Stato è autorizzato a provvedere, con propri decreti, alla riassegnazione al programma «Analisi, monitoraggio e controllo della finanza pubblica e politiche di bilancio», nell’ambito della missione «Politiche economico-finanziarie e di bilancio e tutela della finanza pubblica» dello stato di previsione del Ministero dell’economia e delle finanze </w:t>
      </w:r>
      <w:bookmarkStart w:id="126" w:name="_Hlk85114164"/>
      <w:r w:rsidRPr="00EC14DE">
        <w:rPr>
          <w:rFonts w:eastAsia="Times New Roman" w:cs="Times New Roman"/>
        </w:rPr>
        <w:t>per l’anno finanziario 2022</w:t>
      </w:r>
      <w:bookmarkEnd w:id="126"/>
      <w:r w:rsidRPr="00EC14DE">
        <w:rPr>
          <w:rFonts w:eastAsia="Times New Roman" w:cs="Times New Roman"/>
        </w:rPr>
        <w:t>, delle somme versate all’entrata del bilancio dello Stato relative alla gestione liquidatoria del Fondo gestione istituti contrattuali lavoratori portuali ed alla gestione liquidatoria denominata «Particolari e straordinarie esigenze, anche di ordine pubblico, della città di Palermo».</w:t>
      </w:r>
    </w:p>
    <w:p w14:paraId="1965884E" w14:textId="77777777" w:rsidR="00CD645C" w:rsidRPr="00EC14DE" w:rsidRDefault="00CD645C" w:rsidP="007C594F">
      <w:pPr>
        <w:widowControl w:val="0"/>
        <w:rPr>
          <w:rFonts w:eastAsia="Times New Roman" w:cs="Times New Roman"/>
        </w:rPr>
      </w:pPr>
      <w:r w:rsidRPr="00EC14DE">
        <w:rPr>
          <w:rFonts w:eastAsia="Times New Roman" w:cs="Times New Roman"/>
        </w:rPr>
        <w:t>18. Il Ministro dell'economia e delle finanze è autorizzato ad effettuare, con propri decreti, variazioni compensative, in termini di competenza e di cassa, tra gli stanziamenti dei capitoli 2214 e 2223 dello stato di previsione del Ministero dell'economia e delle finanze per l’anno finanziario 2022, iscritti nel programma «Oneri per il servizio del debito statale» e tra gli stanziamenti dei capitoli 9502 e 9503 del medesimo stato di previsione, iscritti nel programma «Rimborsi del debito statale», al fine di provvedere alla copertura del fabbisogno di tesoreria derivante dalla contrazione di mutui ovvero da analoghe operazioni finanziarie, qualora tale modalità di finanziamento risulti più conveniente per la finanza pubblica rispetto all'emissione di titoli del debito pubblico.</w:t>
      </w:r>
    </w:p>
    <w:p w14:paraId="672AC658" w14:textId="77777777" w:rsidR="00CD645C" w:rsidRPr="00EC14DE" w:rsidRDefault="00CD645C" w:rsidP="007C594F">
      <w:pPr>
        <w:widowControl w:val="0"/>
        <w:rPr>
          <w:rFonts w:eastAsia="Times New Roman" w:cs="Times New Roman"/>
        </w:rPr>
      </w:pPr>
      <w:r w:rsidRPr="00EC14DE">
        <w:rPr>
          <w:rFonts w:eastAsia="Times New Roman" w:cs="Times New Roman"/>
        </w:rPr>
        <w:t>19. Il Ragioniere generale dello Stato è autorizzato a provvedere, con propri decreti, alla riassegnazione ai pertinenti programmi dello stato di previsione del Ministero dell’economia e delle finanze, per l’anno finanziario 2022, delle somme versate all’entrata del bilancio dello Stato dal Comitato olimpico nazionale italiano (CONI), dalla società Sport e salute Spa, dal Comitato italiano paralimpico, dalle singole Federazioni sportive nazionali, dalle regioni, dalle province, dai comuni e da altri enti pubblici e privati, destinate alle attività dei gruppi sportivi del Corpo della guardia di finanza e degli atleti paralimpici tesserati con la “Sezione Paralimpica Fiamme Gialle”.</w:t>
      </w:r>
    </w:p>
    <w:p w14:paraId="6F07FCAD" w14:textId="77777777" w:rsidR="00CD645C" w:rsidRPr="00EC14DE" w:rsidRDefault="00CD645C" w:rsidP="007C594F">
      <w:pPr>
        <w:widowControl w:val="0"/>
        <w:rPr>
          <w:rFonts w:eastAsia="Times New Roman" w:cs="Times New Roman"/>
        </w:rPr>
      </w:pPr>
      <w:r w:rsidRPr="00EC14DE">
        <w:rPr>
          <w:rFonts w:eastAsia="Times New Roman" w:cs="Times New Roman"/>
        </w:rPr>
        <w:t xml:space="preserve">20. Con decreto del Ministro dell'economia e delle finanze possono essere apportate per l’anno finanziario 2022 variazioni compensative in termini di residui e cassa con riferimento alle somme di parte capitale iscritte nello stato di previsione del Ministero dell'economia e delle finanze nell'anno 2020, non utilizzate nel medesimo anno, relative alle missioni «Competitività e sviluppo delle imprese» e «Politiche economico-finanziarie e di bilancio e tutela della finanza pubblica», classificate nella categoria economica «Acquisizione di attività finanziarie - Azioni e altre partecipazioni». </w:t>
      </w:r>
    </w:p>
    <w:p w14:paraId="20756978" w14:textId="77777777" w:rsidR="00413324" w:rsidRPr="00EC14DE" w:rsidRDefault="00CD645C" w:rsidP="007C594F">
      <w:pPr>
        <w:widowControl w:val="0"/>
        <w:rPr>
          <w:b/>
          <w:i/>
        </w:rPr>
      </w:pPr>
      <w:r w:rsidRPr="00EC14DE">
        <w:rPr>
          <w:rFonts w:eastAsia="Times New Roman" w:cs="Times New Roman"/>
        </w:rPr>
        <w:t>21. Il Ragioniere generale dello Stato è autorizzato a provvedere, con propri decreti, alla riassegnazione ai pertinenti programmi dello stato di previsione del Ministero dell’economia e delle finanze, per l’anno finanziario 2022, delle somme versate all’entrata del bilancio dello Stato, nello stesso anno, dal Fondo di assistenza per i finanzieri (FAF), relative ai premi per i militari della Guardia di finanza non ancora ripartiti al 31 dicembre 2021 e destinate ad alimentare il fondo di cui all’articolo 3, comma 1, della legge 7 febbraio 1951, n. 168.</w:t>
      </w:r>
    </w:p>
    <w:p w14:paraId="535BD45E" w14:textId="77777777" w:rsidR="00F54C53" w:rsidRPr="00EC14DE" w:rsidRDefault="00F54C53"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(Stato di previsione del Ministero dello sviluppo economico e disposizioni relative)</w:t>
      </w:r>
    </w:p>
    <w:p w14:paraId="04EF07B3" w14:textId="77777777" w:rsidR="00CD645C" w:rsidRPr="00EC14DE" w:rsidRDefault="00CD645C" w:rsidP="007C594F">
      <w:pPr>
        <w:widowControl w:val="0"/>
        <w:rPr>
          <w:rFonts w:eastAsia="Times New Roman" w:cs="Times New Roman"/>
        </w:rPr>
      </w:pPr>
      <w:r w:rsidRPr="00EC14DE">
        <w:rPr>
          <w:rFonts w:eastAsia="Times New Roman" w:cs="Times New Roman"/>
        </w:rPr>
        <w:t>1. Sono autorizzati l'impegno e il pagamento delle spese del Ministero dello sviluppo economico, per l'anno finanziario 2022, in conformità all'annesso stato di previsione (Tabella n. 3).</w:t>
      </w:r>
    </w:p>
    <w:p w14:paraId="61070091" w14:textId="77777777" w:rsidR="00F54C53" w:rsidRPr="00EC14DE" w:rsidRDefault="00CD645C" w:rsidP="007C594F">
      <w:pPr>
        <w:widowControl w:val="0"/>
        <w:rPr>
          <w:rFonts w:eastAsia="Times New Roman" w:cs="Times New Roman"/>
        </w:rPr>
      </w:pPr>
      <w:r w:rsidRPr="00EC14DE">
        <w:rPr>
          <w:rFonts w:eastAsia="Times New Roman" w:cs="Times New Roman"/>
        </w:rPr>
        <w:t>2. Le somme impegnate in relazione alle disposizioni di cui all'articolo 1 del decreto-legge 9 ottobre 1993, n. 410, convertito dalla legge 10 dicembre 1993, n. 513, recante interventi urgenti a sostegno dell'occupazione nelle aree di crisi siderurgica, resesi disponibili a seguito di provvedimenti di revoca, sono versate all'entrata del bilancio dello Stato per essere riassegnate, nell’anno finanziario 2022, con decreti del Ragioniere generale dello Stato, allo stato di previsione del Ministero dello sviluppo economico, ai fini di cui al medesimo articolo 1 del decreto-legge n. 410 del 1993, convertito dalla legge n. 513 del 1993.</w:t>
      </w:r>
    </w:p>
    <w:p w14:paraId="64ADB0C3" w14:textId="77777777" w:rsidR="00F54C53" w:rsidRPr="00EC14DE" w:rsidRDefault="00F54C53"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(Stato di previsione del Ministero del lavoro e delle politiche sociali e disposizioni relative)</w:t>
      </w:r>
    </w:p>
    <w:p w14:paraId="76630CDE" w14:textId="77777777" w:rsidR="00CD645C" w:rsidRPr="00EC14DE" w:rsidRDefault="00CD645C" w:rsidP="007C594F">
      <w:pPr>
        <w:widowControl w:val="0"/>
        <w:rPr>
          <w:rFonts w:eastAsia="Times New Roman" w:cs="Times New Roman"/>
        </w:rPr>
      </w:pPr>
      <w:r w:rsidRPr="00EC14DE">
        <w:rPr>
          <w:rFonts w:eastAsia="Times New Roman" w:cs="Times New Roman"/>
        </w:rPr>
        <w:t xml:space="preserve">1. Sono autorizzati l'impegno e il pagamento delle spese del Ministero del lavoro e delle politiche sociali, per l'anno finanziario 2022, in conformità all'annesso stato di previsione (Tabella n. 4). </w:t>
      </w:r>
    </w:p>
    <w:p w14:paraId="50F18D4B" w14:textId="77777777" w:rsidR="00F54C53" w:rsidRPr="00EC14DE" w:rsidRDefault="00CD645C" w:rsidP="007C594F">
      <w:pPr>
        <w:widowControl w:val="0"/>
        <w:rPr>
          <w:rFonts w:eastAsia="Times New Roman" w:cs="Times New Roman"/>
        </w:rPr>
      </w:pPr>
      <w:r w:rsidRPr="00EC14DE">
        <w:rPr>
          <w:rFonts w:eastAsia="Times New Roman" w:cs="Times New Roman"/>
        </w:rPr>
        <w:t xml:space="preserve">2. Il Ministro dell'economia e delle finanze è autorizzato ad apportare, su proposta del Ministro del lavoro e delle politiche sociali, con propri decreti, per l'anno finanziario 2022, variazioni compensative in termini di residui, di competenza e di cassa tra i capitoli dello stato di previsione del Ministero del lavoro e delle politiche sociali, anche tra missioni e programmi diversi, connesse con l'attuazione dei decreti legislativi 14 settembre 2015, n. 149 e n. 150. </w:t>
      </w:r>
      <w:r w:rsidR="00F54C53" w:rsidRPr="00EC14DE">
        <w:rPr>
          <w:rFonts w:eastAsia="Times New Roman" w:cs="Times New Roman"/>
        </w:rPr>
        <w:t xml:space="preserve"> </w:t>
      </w:r>
    </w:p>
    <w:p w14:paraId="5DC65EC5" w14:textId="77777777" w:rsidR="00F54C53" w:rsidRPr="00EC14DE" w:rsidRDefault="00F54C53"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(Stato di previsione del Ministero della giustizia e disposizioni relative)</w:t>
      </w:r>
    </w:p>
    <w:p w14:paraId="1E2E9452" w14:textId="77777777" w:rsidR="00CD645C" w:rsidRPr="00EC14DE" w:rsidRDefault="00CD645C" w:rsidP="007C594F">
      <w:pPr>
        <w:widowControl w:val="0"/>
        <w:rPr>
          <w:rFonts w:eastAsia="Times New Roman" w:cs="Times New Roman"/>
        </w:rPr>
      </w:pPr>
      <w:r w:rsidRPr="00EC14DE">
        <w:rPr>
          <w:rFonts w:eastAsia="Times New Roman" w:cs="Times New Roman"/>
        </w:rPr>
        <w:t>1. Sono autorizzati l'impegno e il pagamento delle spese del Ministero della giustizia, per l'anno finanziario 2022, in conformità all'annesso stato di previsione (Tabella n. 5).</w:t>
      </w:r>
    </w:p>
    <w:p w14:paraId="7BFCBEB7" w14:textId="77777777" w:rsidR="00CD645C" w:rsidRPr="00EC14DE" w:rsidRDefault="00CD645C" w:rsidP="007C594F">
      <w:pPr>
        <w:widowControl w:val="0"/>
        <w:rPr>
          <w:rFonts w:eastAsia="Times New Roman" w:cs="Times New Roman"/>
        </w:rPr>
      </w:pPr>
      <w:r w:rsidRPr="00EC14DE">
        <w:rPr>
          <w:rFonts w:eastAsia="Times New Roman" w:cs="Times New Roman"/>
        </w:rPr>
        <w:t>2. Il Ragioniere generale dello Stato è autorizzato a provvedere, con propri decreti, alla riassegnazione, in termini di competenza e di cassa, delle somme versate dal CONI, dalla società Sport e salute Spa, dalle regioni, dalle province, dai comuni e da altri enti pubblici e privati all'entrata del bilancio dello Stato, relativamente alle spese per il mantenimento, per l'assistenza e per la rieducazione dei detenuti e internati, per gli interventi e gli investimenti finalizzati al miglioramento delle condizioni detentive e delle attività trattamentali, nonché per le attività sportive del personale del Corpo di polizia penitenziaria e dei detenuti e internati, nel programma «Amministrazione penitenziaria» e nel programma «Giustizia minorile e di comunità», nell'ambito della missione «Giustizia» dello stato di previsione del Ministero della giustizia per l'anno finanziario 2022.</w:t>
      </w:r>
    </w:p>
    <w:p w14:paraId="2A2D63C6" w14:textId="77777777" w:rsidR="00F54C53" w:rsidRPr="00EC14DE" w:rsidRDefault="00CD645C" w:rsidP="007C594F">
      <w:pPr>
        <w:widowControl w:val="0"/>
        <w:rPr>
          <w:rFonts w:eastAsia="Times New Roman" w:cs="Times New Roman"/>
        </w:rPr>
      </w:pPr>
      <w:r w:rsidRPr="00EC14DE">
        <w:rPr>
          <w:rFonts w:eastAsia="Times New Roman" w:cs="Times New Roman"/>
        </w:rPr>
        <w:t xml:space="preserve">3. Il Ragioniere generale dello Stato è autorizzato a provvedere, con propri decreti, alla riassegnazione, </w:t>
      </w:r>
      <w:bookmarkStart w:id="127" w:name="_Hlk85109227"/>
      <w:r w:rsidRPr="00EC14DE">
        <w:rPr>
          <w:rFonts w:eastAsia="Times New Roman" w:cs="Times New Roman"/>
        </w:rPr>
        <w:t>allo stato di previsione del Ministero della giustizia</w:t>
      </w:r>
      <w:bookmarkEnd w:id="127"/>
      <w:r w:rsidRPr="00EC14DE">
        <w:rPr>
          <w:rFonts w:eastAsia="Times New Roman" w:cs="Times New Roman"/>
        </w:rPr>
        <w:t>, delle somme versate ad apposito capitolo dell’entrata del bilancio dello Stato, a seguito di convenzioni stipulate dal Ministero medesimo con enti pubblici e privati, a decorrere dalla data di entrata in vigore della presente legge, ovvero derivanti da contributi, rimborsi e finanziamenti provenienti da organismi anche internazionali, per la destinazione alle spese per il funzionamento degli uffici giudiziari e dei servizi, anche di natura informatica, forniti dai medesimi uffici nonché al potenziamento delle attività connesse alla cooperazione giudiziaria internazionale, nei programmi «Giustizia civile e penale» e «Servizi di gestione amministrativa per l’attività giudiziaria» nell’ambito della missione «Giustizia» dello stato di previsione del Ministero della giustizia per l’anno finanziario 2022</w:t>
      </w:r>
    </w:p>
    <w:p w14:paraId="2A596EFC" w14:textId="77777777" w:rsidR="00F54C53" w:rsidRPr="00EC14DE" w:rsidRDefault="00F54C53"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(Stato di previsione del Ministero degli affari esteri e della cooperazione internazionale e disposizioni relative)</w:t>
      </w:r>
    </w:p>
    <w:p w14:paraId="44037B09" w14:textId="77777777" w:rsidR="00CD645C" w:rsidRPr="00EC14DE" w:rsidRDefault="00CD645C" w:rsidP="007C594F">
      <w:pPr>
        <w:widowControl w:val="0"/>
        <w:rPr>
          <w:rFonts w:eastAsia="Times New Roman" w:cs="Times New Roman"/>
        </w:rPr>
      </w:pPr>
      <w:r w:rsidRPr="00EC14DE">
        <w:rPr>
          <w:rFonts w:eastAsia="Times New Roman" w:cs="Times New Roman"/>
        </w:rPr>
        <w:t xml:space="preserve">1. Sono autorizzati l'impegno e il pagamento delle spese del Ministero degli affari esteri e della cooperazione internazionale, per l'anno finanziario 2022, in conformità all'annesso stato di previsione (Tabella n. 6). </w:t>
      </w:r>
    </w:p>
    <w:p w14:paraId="5493D8AB" w14:textId="77777777" w:rsidR="00F54C53" w:rsidRPr="00EC14DE" w:rsidRDefault="00CD645C" w:rsidP="007C594F">
      <w:pPr>
        <w:widowControl w:val="0"/>
        <w:rPr>
          <w:rFonts w:eastAsia="Times New Roman" w:cs="Times New Roman"/>
        </w:rPr>
      </w:pPr>
      <w:r w:rsidRPr="00EC14DE">
        <w:rPr>
          <w:rFonts w:eastAsia="Times New Roman" w:cs="Times New Roman"/>
        </w:rPr>
        <w:t>2. Il Ministero degli affari esteri e della cooperazione internazionale è autorizzato ad effettuare, previe intese con il Ministero dell'economia e delle finanze, operazioni in valuta estera non convertibile pari alle disponibilità esistenti nei conti correnti valuta Tesoro costituiti presso le rappresentanze diplomatiche e gli uffici consolari, ai sensi dell'articolo 5 della legge 6 febbraio 1985, n. 15, e che risultino intrasferibili per effetto di norme o disposizioni locali. Il relativo controvalore in euro è acquisito all'entrata del bilancio dello Stato ed è contestualmente iscritto, con decreti del Ragioniere generale dello Stato, sulla base delle indicazioni del Ministero degli affari esteri e della cooperazione internazionale, nei pertinenti programmi dello stato di previsione del medesimo Ministero per l'anno finanziario 2022, per l'effettuazione di spese connesse alle esigenze di funzionamento, mantenimento ed acquisto delle sedi diplomatiche e consolari, degli istituti di cultura e delle scuole italiane all'estero. Il Ministero degli affari esteri e della cooperazione internazionale è altresì autorizzato per il medesimo anno ad effettuare, con le medesime modalità, operazioni in valuta estera pari alle disponibilità esistenti nei conti correnti valuta Tesoro in valute inconvertibili o intrasferibili individuate, ai fini delle operazioni di cui al presente comma, dal Dipartimento del tesoro del Ministero dell’economia e delle finanze su richiesta della competente Direzione generale del Ministero degli affari esteri e della cooperazione internazionale.</w:t>
      </w:r>
    </w:p>
    <w:p w14:paraId="46EBEE24" w14:textId="77777777" w:rsidR="00F54C53" w:rsidRPr="00EC14DE" w:rsidRDefault="00F54C53"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br/>
      </w:r>
      <w:r w:rsidRPr="00EC14DE">
        <w:rPr>
          <w:rFonts w:eastAsia="Times New Roman"/>
        </w:rPr>
        <w:t xml:space="preserve"> (Stato di previsione del Ministero dell'istruzione e disposizioni relative)</w:t>
      </w:r>
    </w:p>
    <w:p w14:paraId="641BA2A2" w14:textId="77777777" w:rsidR="00CD645C" w:rsidRPr="00EC14DE" w:rsidRDefault="00CD645C" w:rsidP="007C594F">
      <w:pPr>
        <w:widowControl w:val="0"/>
        <w:rPr>
          <w:rFonts w:eastAsia="Times New Roman" w:cs="Times New Roman"/>
        </w:rPr>
      </w:pPr>
      <w:r w:rsidRPr="00EC14DE">
        <w:rPr>
          <w:rFonts w:eastAsia="Times New Roman" w:cs="Times New Roman"/>
        </w:rPr>
        <w:t xml:space="preserve">1. Sono autorizzati l'impegno e il pagamento delle spese del Ministero dell'istruzione, per l'anno finanziario 2022, in conformità all'annesso stato di previsione (Tabella n. 7). </w:t>
      </w:r>
    </w:p>
    <w:p w14:paraId="133B0C9A" w14:textId="77777777" w:rsidR="00CD645C" w:rsidRPr="00EC14DE" w:rsidRDefault="00CD645C" w:rsidP="007C594F">
      <w:pPr>
        <w:widowControl w:val="0"/>
        <w:rPr>
          <w:rFonts w:eastAsia="Times New Roman" w:cs="Times New Roman"/>
        </w:rPr>
      </w:pPr>
      <w:r w:rsidRPr="00EC14DE">
        <w:rPr>
          <w:rFonts w:eastAsia="Times New Roman" w:cs="Times New Roman"/>
        </w:rPr>
        <w:t>2. Il Ragioniere generale dello Stato è autorizzato a provvedere, con propri decreti, alla riassegnazione ai pertinenti programmi dello stato di previsione del Ministero dell’istruzione, per l’anno finanziario 2022, delle somme versate all’entrata del bilancio dello Stato dalla Presidenza del Consiglio dei ministri per realizzare azioni educative di prevenzione dell’uso di sostanze stupefacenti in età scolare.</w:t>
      </w:r>
    </w:p>
    <w:p w14:paraId="5B5F2B10" w14:textId="77777777" w:rsidR="00F54C53" w:rsidRPr="00EC14DE" w:rsidRDefault="00F54C53" w:rsidP="007C594F">
      <w:pPr>
        <w:widowControl w:val="0"/>
        <w:ind w:firstLine="284"/>
        <w:rPr>
          <w:rFonts w:eastAsia="Times New Roman" w:cs="Times New Roman"/>
        </w:rPr>
      </w:pPr>
    </w:p>
    <w:p w14:paraId="6D03EAB6" w14:textId="77777777" w:rsidR="00F54C53" w:rsidRPr="00EC14DE" w:rsidRDefault="00F54C53"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(Stato di previsione del Ministero dell'interno e disposizioni relative)</w:t>
      </w:r>
    </w:p>
    <w:p w14:paraId="4A504985" w14:textId="77777777" w:rsidR="00CD645C" w:rsidRPr="00EC14DE" w:rsidRDefault="00CD645C" w:rsidP="007C594F">
      <w:pPr>
        <w:widowControl w:val="0"/>
        <w:rPr>
          <w:rFonts w:eastAsia="Times New Roman" w:cs="Times New Roman"/>
        </w:rPr>
      </w:pPr>
      <w:r w:rsidRPr="00EC14DE">
        <w:rPr>
          <w:rFonts w:eastAsia="Times New Roman" w:cs="Times New Roman"/>
        </w:rPr>
        <w:t xml:space="preserve">1. Sono autorizzati l'impegno e il pagamento delle spese del Ministero dell'interno, per l'anno finanziario 2022, in conformità all'annesso stato di previsione (Tabella n. 8). </w:t>
      </w:r>
    </w:p>
    <w:p w14:paraId="05214178" w14:textId="77777777" w:rsidR="00CD645C" w:rsidRPr="00EC14DE" w:rsidRDefault="00CD645C" w:rsidP="007C594F">
      <w:pPr>
        <w:widowControl w:val="0"/>
        <w:rPr>
          <w:rFonts w:eastAsia="Times New Roman" w:cs="Times New Roman"/>
        </w:rPr>
      </w:pPr>
      <w:r w:rsidRPr="00EC14DE">
        <w:rPr>
          <w:rFonts w:eastAsia="Times New Roman" w:cs="Times New Roman"/>
        </w:rPr>
        <w:t xml:space="preserve">2. Le somme versate dal CONI e dalla società Sport e salute Spa, nell'ambito della voce «Entrate derivanti da servizi resi dalle Amministrazioni statali» dello stato di previsione dell'entrata sono riassegnate, con decreti del Ragioniere generale dello Stato, al programma «Prevenzione dal rischio e soccorso pubblico», nell'ambito della missione «Soccorso civile» dello stato di previsione del Ministero dell'interno per l'anno finanziario 2022, per essere destinate alle spese relative all'educazione fisica, all'attività sportiva e alla costruzione, al completamento e all’adattamento di infrastrutture sportive concernenti il Corpo nazionale dei vigili del fuoco. </w:t>
      </w:r>
    </w:p>
    <w:p w14:paraId="67D95D60" w14:textId="77777777" w:rsidR="00CD645C" w:rsidRPr="00EC14DE" w:rsidRDefault="00CD645C" w:rsidP="007C594F">
      <w:pPr>
        <w:widowControl w:val="0"/>
        <w:rPr>
          <w:rFonts w:eastAsia="Times New Roman" w:cs="Times New Roman"/>
        </w:rPr>
      </w:pPr>
      <w:r w:rsidRPr="00EC14DE">
        <w:rPr>
          <w:rFonts w:eastAsia="Times New Roman" w:cs="Times New Roman"/>
        </w:rPr>
        <w:t xml:space="preserve">3. Nell'elenco n. 1, annesso allo stato di previsione del Ministero dell'interno, sono indicate le spese per le quali si possono effettuare, per l'anno finanziario 2022, prelevamenti dal fondo a disposizione per la Pubblica sicurezza, di cui all'articolo 1 della legge 12 dicembre 1969, n. 1001, iscritto nel programma «Contrasto al crimine, tutela dell’ordine e della sicurezza pubblica», nell'ambito della missione «Ordine pubblico e sicurezza». </w:t>
      </w:r>
    </w:p>
    <w:p w14:paraId="18E02257" w14:textId="77777777" w:rsidR="00CD645C" w:rsidRPr="00EC14DE" w:rsidRDefault="00CD645C" w:rsidP="007C594F">
      <w:pPr>
        <w:widowControl w:val="0"/>
        <w:rPr>
          <w:rFonts w:eastAsia="Times New Roman" w:cs="Times New Roman"/>
        </w:rPr>
      </w:pPr>
      <w:r w:rsidRPr="00EC14DE">
        <w:rPr>
          <w:rFonts w:eastAsia="Times New Roman" w:cs="Times New Roman"/>
        </w:rPr>
        <w:t xml:space="preserve">4. Il Ministro dell'economia e delle finanze è autorizzato a trasferire, con propri decreti, su proposta del Ministro dell'interno, agli stati di previsione dei Ministeri interessati, per l’anno finanziario 2022, le risorse iscritte nel capitolo 2313, istituito nel programma «Flussi migratori, interventi per lo sviluppo della coesione sociale, garanzia dei diritti, rapporti con le confessioni religiose», nell’ambito della missione «Immigrazione, accoglienza e garanzia dei diritti» dello stato di previsione del Ministero dell'interno, e nel capitolo 2872, istituito nel programma «Pianificazione e coordinamento Forze di polizia», nell’ambito della missione «Ordine pubblico e sicurezza» del medesimo stato di previsione, in attuazione dell'articolo 1, comma 562, della legge 23 dicembre 2005, n. 266, dell'articolo 34 del decreto-legge 1° ottobre 2007, n. 159, convertito, con modificazioni, dalla legge 29 novembre 2007, n. 222 e delle disposizioni di cui all'articolo 2, comma 106, della legge 24 dicembre 2007, n. 244. </w:t>
      </w:r>
    </w:p>
    <w:p w14:paraId="69921DBF" w14:textId="77777777" w:rsidR="00CD645C" w:rsidRPr="00EC14DE" w:rsidRDefault="00CD645C" w:rsidP="007C594F">
      <w:pPr>
        <w:widowControl w:val="0"/>
        <w:rPr>
          <w:rFonts w:eastAsia="Times New Roman" w:cs="Times New Roman"/>
        </w:rPr>
      </w:pPr>
      <w:r w:rsidRPr="00EC14DE">
        <w:rPr>
          <w:rFonts w:eastAsia="Times New Roman" w:cs="Times New Roman"/>
        </w:rPr>
        <w:t>5. Il Ragioniere generale dello Stato è autorizzato a riassegnare, con propri decreti, nello stato di previsione del Ministero dell’interno, per l’anno finanziario 2022, i contributi relativi al rilascio e al rinnovo dei permessi di soggiorno, di cui all’articolo 5, comma 2-ter, del testo unico di cui al decreto legislativo 25 luglio 1998, n. 286, versati all’entrata del bilancio dello Stato e destinati, ai sensi dell’articolo 14-bis del medesimo testo unico, al Fondo rimpatri, finalizzato a finanziare le spese per il rimpatrio degli stranieri verso i Paesi di origine ovvero di provenienza.</w:t>
      </w:r>
    </w:p>
    <w:p w14:paraId="258C26CB" w14:textId="77777777" w:rsidR="00CD645C" w:rsidRPr="00EC14DE" w:rsidRDefault="00CD645C" w:rsidP="007C594F">
      <w:pPr>
        <w:widowControl w:val="0"/>
        <w:rPr>
          <w:rFonts w:eastAsia="Times New Roman" w:cs="Times New Roman"/>
        </w:rPr>
      </w:pPr>
      <w:r w:rsidRPr="00EC14DE">
        <w:rPr>
          <w:rFonts w:eastAsia="Times New Roman" w:cs="Times New Roman"/>
        </w:rPr>
        <w:t>6. Al fine di reperire le risorse occorrenti per il finanziamento dei programmi di rimpatrio volontario ed assistito di cittadini di Paesi terzi verso il Paese di origine o di provenienza, ai sensi dell’articolo 14-ter del testo unico di cui al decreto legislativo 25 luglio 1998, n. 286, il Ministro dell’economia e delle finanze è autorizzato ad apportare, con propri decreti, su proposta del Ministro dell’interno, per l’anno finanziario 2022, le occorrenti variazioni compensative di bilancio, nello stato di previsione del Ministero dell’interno, anche tra missioni e programmi diversi.</w:t>
      </w:r>
    </w:p>
    <w:p w14:paraId="0CB8FDA2" w14:textId="77777777" w:rsidR="00CD645C" w:rsidRPr="00EC14DE" w:rsidRDefault="00CD645C" w:rsidP="007C594F">
      <w:pPr>
        <w:widowControl w:val="0"/>
        <w:autoSpaceDE w:val="0"/>
        <w:autoSpaceDN w:val="0"/>
        <w:adjustRightInd w:val="0"/>
        <w:rPr>
          <w:rFonts w:eastAsia="Times New Roman" w:cs="Times New Roman"/>
        </w:rPr>
      </w:pPr>
      <w:r w:rsidRPr="00EC14DE">
        <w:rPr>
          <w:rFonts w:eastAsia="Times New Roman" w:cs="Times New Roman"/>
        </w:rPr>
        <w:t>7. Il Ministro dell’economia e delle finanze è autorizzato ad apportare, con propri decreti, per l’anno finanziario 2022, le variazioni compensative di bilancio tra i programmi di spesa dello stato di previsione del Ministero dell’interno «</w:t>
      </w:r>
      <w:r w:rsidRPr="00EC14DE">
        <w:rPr>
          <w:rFonts w:cs="Times New Roman"/>
        </w:rPr>
        <w:t>Elaborazione, quantificazione e assegnazione delle risorse finanziarie da attribuire agli enti locali»</w:t>
      </w:r>
      <w:r w:rsidRPr="00EC14DE">
        <w:rPr>
          <w:rFonts w:eastAsia="Times New Roman" w:cs="Times New Roman"/>
        </w:rPr>
        <w:t xml:space="preserve"> e «Gestione dell’albo dei segretari comunali e provinciali», in relazione alle minori o maggiori occorrenze connesse alla gestione dell’albo dei segretari provinciali e comunali necessarie ai sensi dell’articolo 7, comma 31-ter, del decreto-legge 31 maggio 2010, n. 78, convertito, con modificazioni, dalla legge 30 luglio 2010, n. 122 e dell’articolo 10 del decreto-legge 10 ottobre 2012, n. 174, convertito, con modificazioni, dalla legge 7 dicembre 2012, n. 213.</w:t>
      </w:r>
    </w:p>
    <w:p w14:paraId="2FE6F90F" w14:textId="77777777" w:rsidR="00CD645C" w:rsidRPr="00EC14DE" w:rsidRDefault="00CD645C" w:rsidP="007C594F">
      <w:pPr>
        <w:widowControl w:val="0"/>
        <w:autoSpaceDE w:val="0"/>
        <w:autoSpaceDN w:val="0"/>
        <w:adjustRightInd w:val="0"/>
        <w:rPr>
          <w:rFonts w:eastAsia="Times New Roman" w:cs="Times New Roman"/>
        </w:rPr>
      </w:pPr>
      <w:r w:rsidRPr="00EC14DE">
        <w:rPr>
          <w:rFonts w:eastAsia="Times New Roman" w:cs="Times New Roman"/>
        </w:rPr>
        <w:t>8. Al fine di consentire la corresponsione, nell’ambito del sistema di erogazione unificata, delle competenze accessorie dovute al personale della Polizia di Stato per i servizi resi nell’ambito delle convenzioni stipulate con le società di trasporto ferroviario, con la società Poste Italiane Spa, con l’ANAS Spa e con l’Associazione italiana società concessionarie autostrade e trafori, il Ministro dell’interno è autorizzato ad apportare, con propri decreti, previo assenso del Ministero dell’economia e delle finanze - Dipartimento della Ragioneria generale dello Stato, le occorrenti variazioni compensative di bilancio delle risorse iscritte sul capitolo 2502, istituito nel programma «Contrasto al crimine, tutela dell'ordine e della sicurezza pubblica», della missione «Ordine pubblico e sicurezza» sui pertinenti capitoli dello stato di previsione del Ministero dell’interno.</w:t>
      </w:r>
    </w:p>
    <w:p w14:paraId="4AED79AF" w14:textId="77777777" w:rsidR="00F54C53" w:rsidRPr="00EC14DE" w:rsidRDefault="00CD645C" w:rsidP="007C594F">
      <w:pPr>
        <w:widowControl w:val="0"/>
        <w:autoSpaceDE w:val="0"/>
        <w:autoSpaceDN w:val="0"/>
        <w:adjustRightInd w:val="0"/>
        <w:rPr>
          <w:rFonts w:eastAsia="Times New Roman" w:cs="Times New Roman"/>
          <w:bCs/>
        </w:rPr>
      </w:pPr>
      <w:r w:rsidRPr="00EC14DE">
        <w:rPr>
          <w:rFonts w:eastAsia="Times New Roman" w:cs="Times New Roman"/>
        </w:rPr>
        <w:t xml:space="preserve">9. </w:t>
      </w:r>
      <w:r w:rsidRPr="00EC14DE">
        <w:rPr>
          <w:rFonts w:eastAsia="Times New Roman" w:cs="Times New Roman"/>
          <w:bCs/>
        </w:rPr>
        <w:t>Al fine di consentire il pagamento dei compensi per lavoro straordinario, si applicano al personale dell’Amministrazione civile dell’interno, nelle more del perfezionamento del decreto del Ministro dell’interno di cui all’articolo 43, comma 13, della legge 1° aprile 1981, n. 121, i limiti massimi stabiliti dal decreto adottato, ai sensi del medesimo articolo, per l’anno 2021.</w:t>
      </w:r>
    </w:p>
    <w:p w14:paraId="1362021F" w14:textId="77777777" w:rsidR="00F54C53" w:rsidRPr="00EC14DE" w:rsidRDefault="00F54C53" w:rsidP="007C594F">
      <w:pPr>
        <w:pStyle w:val="Titolo3"/>
        <w:keepNext w:val="0"/>
        <w:keepLines w:val="0"/>
        <w:widowControl w:val="0"/>
        <w:rPr>
          <w:rFonts w:eastAsia="Times New Roman" w:cs="Times New Roman"/>
          <w:i w:val="0"/>
          <w:szCs w:val="22"/>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t xml:space="preserve">(Stato di previsione del Ministero </w:t>
      </w:r>
      <w:r w:rsidRPr="00EC14DE">
        <w:rPr>
          <w:rFonts w:eastAsia="Times New Roman" w:cs="Times New Roman"/>
          <w:szCs w:val="22"/>
        </w:rPr>
        <w:t>della transizione ecologica)</w:t>
      </w:r>
    </w:p>
    <w:p w14:paraId="31F8270B" w14:textId="77777777" w:rsidR="00F54C53" w:rsidRPr="00EC14DE" w:rsidRDefault="00CD645C" w:rsidP="007C594F">
      <w:pPr>
        <w:widowControl w:val="0"/>
        <w:rPr>
          <w:rFonts w:eastAsia="Times New Roman" w:cs="Times New Roman"/>
        </w:rPr>
      </w:pPr>
      <w:r w:rsidRPr="00EC14DE">
        <w:rPr>
          <w:rFonts w:eastAsia="Times New Roman" w:cs="Times New Roman"/>
        </w:rPr>
        <w:t xml:space="preserve">1. Sono autorizzati l'impegno e il pagamento delle spese del Ministero della transizione ecologica, per l'anno finanziario 2022, in conformità all'annesso stato di previsione (Tabella n. 9). </w:t>
      </w:r>
      <w:r w:rsidR="00F54C53" w:rsidRPr="00EC14DE">
        <w:rPr>
          <w:rFonts w:eastAsia="Times New Roman" w:cs="Times New Roman"/>
        </w:rPr>
        <w:t xml:space="preserve"> </w:t>
      </w:r>
    </w:p>
    <w:p w14:paraId="17FEAB4A" w14:textId="77777777" w:rsidR="00F54C53" w:rsidRPr="00EC14DE" w:rsidRDefault="00B308E0"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r>
      <w:r w:rsidR="00F54C53" w:rsidRPr="00EC14DE">
        <w:rPr>
          <w:rFonts w:eastAsia="Times New Roman"/>
        </w:rPr>
        <w:t>(St</w:t>
      </w:r>
      <w:r w:rsidRPr="00EC14DE">
        <w:rPr>
          <w:rFonts w:eastAsia="Times New Roman"/>
        </w:rPr>
        <w:t xml:space="preserve">ato di previsione del Ministero </w:t>
      </w:r>
      <w:r w:rsidR="00F54C53" w:rsidRPr="00EC14DE">
        <w:rPr>
          <w:rFonts w:eastAsia="Times New Roman"/>
        </w:rPr>
        <w:t>delle infrastrutture e della mobilità sostenibili e disposizioni relative)</w:t>
      </w:r>
    </w:p>
    <w:p w14:paraId="1FFDE4A4" w14:textId="77777777" w:rsidR="00C20AC8" w:rsidRPr="00EC14DE" w:rsidRDefault="00C20AC8" w:rsidP="007C594F">
      <w:pPr>
        <w:widowControl w:val="0"/>
        <w:rPr>
          <w:rFonts w:eastAsia="Times New Roman" w:cs="Times New Roman"/>
        </w:rPr>
      </w:pPr>
      <w:r w:rsidRPr="00EC14DE">
        <w:rPr>
          <w:rFonts w:eastAsia="Times New Roman" w:cs="Times New Roman"/>
        </w:rPr>
        <w:t xml:space="preserve">1. Sono autorizzati l'impegno e il pagamento delle spese del Ministero delle infrastrutture e della mobilità sostenibili, per l'anno finanziario 2022, in conformità all'annesso stato di previsione (Tabella n. 10). </w:t>
      </w:r>
    </w:p>
    <w:p w14:paraId="6A39283D" w14:textId="77777777" w:rsidR="00C20AC8" w:rsidRPr="00EC14DE" w:rsidRDefault="00C20AC8" w:rsidP="007C594F">
      <w:pPr>
        <w:widowControl w:val="0"/>
        <w:autoSpaceDE w:val="0"/>
        <w:autoSpaceDN w:val="0"/>
        <w:adjustRightInd w:val="0"/>
        <w:rPr>
          <w:rFonts w:eastAsia="Times New Roman" w:cs="Times New Roman"/>
        </w:rPr>
      </w:pPr>
      <w:r w:rsidRPr="00EC14DE">
        <w:rPr>
          <w:rFonts w:eastAsia="Times New Roman" w:cs="Times New Roman"/>
        </w:rPr>
        <w:t>2. Il numero massimo degli ufficiali ausiliari del Corpo delle capitanerie di porto da mantenere in servizio come forza media nell'anno 2022, ai sensi dell'articolo 803 del codice di cui al decreto legislativo 15 marzo 2010, n. 66, è stabilito come segue: 248 ufficiali in ferma prefissata o in rafferma, di cui alla lettera c) del comma 1 dell'articolo 937 del codice di cui al decreto legislativo n. 66 del 2010; 35 ufficiali piloti di complemento, di cui alla lettera b) e n. 3 ufficiali delle forze di completamento, di cui alla lettera d) del comma 1 dell'articolo 937 del codice di cui al decreto legislativo n. 66 del 2010.</w:t>
      </w:r>
    </w:p>
    <w:p w14:paraId="2DC9A2FF" w14:textId="77777777" w:rsidR="00C20AC8" w:rsidRPr="00EC14DE" w:rsidRDefault="00C20AC8" w:rsidP="007C594F">
      <w:pPr>
        <w:widowControl w:val="0"/>
        <w:rPr>
          <w:rFonts w:eastAsia="Times New Roman" w:cs="Times New Roman"/>
        </w:rPr>
      </w:pPr>
      <w:r w:rsidRPr="00EC14DE">
        <w:rPr>
          <w:rFonts w:eastAsia="Times New Roman" w:cs="Times New Roman"/>
        </w:rPr>
        <w:t>3. Il numero massimo degli allievi del Corpo delle capitanerie di porto da mantenere alla frequenza dei corsi presso l'Accademia navale e le Scuole sottufficiali della Marina militare</w:t>
      </w:r>
      <w:r w:rsidRPr="00EC14DE">
        <w:rPr>
          <w:rFonts w:cs="Times New Roman"/>
        </w:rPr>
        <w:t xml:space="preserve"> </w:t>
      </w:r>
      <w:r w:rsidRPr="00EC14DE">
        <w:rPr>
          <w:rFonts w:eastAsia="Times New Roman" w:cs="Times New Roman"/>
        </w:rPr>
        <w:t>di cui alle lettere b) e b-bis) del comma 1 dell’articolo 803 del codice di cui al decreto legislativo 15 marzo 2010, n. 66, è fissato, per l’anno 2022, in 136 unità.</w:t>
      </w:r>
    </w:p>
    <w:p w14:paraId="2B7EEDA0" w14:textId="77777777" w:rsidR="00C20AC8" w:rsidRPr="00EC14DE" w:rsidRDefault="00C20AC8" w:rsidP="007C594F">
      <w:pPr>
        <w:widowControl w:val="0"/>
        <w:rPr>
          <w:rFonts w:eastAsia="Times New Roman" w:cs="Times New Roman"/>
        </w:rPr>
      </w:pPr>
      <w:r w:rsidRPr="00EC14DE">
        <w:rPr>
          <w:rFonts w:eastAsia="Times New Roman" w:cs="Times New Roman"/>
        </w:rPr>
        <w:t xml:space="preserve">4. Nell'elenco n. 1 annesso allo stato di previsione del Ministero delle infrastrutture e della mobilità sostenibili, riguardante il Corpo delle capitanerie di porto, sono descritte le spese per le quali possono effettuarsi, per l'anno finanziario 2022, i prelevamenti dal fondo a disposizione iscritto nel programma «Sicurezza e controllo nei mari, nei porti e sulle coste», nell'ambito della missione «Ordine pubblico e sicurezza» del medesimo stato di previsione. </w:t>
      </w:r>
    </w:p>
    <w:p w14:paraId="3F6ED690" w14:textId="77777777" w:rsidR="00C20AC8" w:rsidRPr="00EC14DE" w:rsidRDefault="00C20AC8" w:rsidP="007C594F">
      <w:pPr>
        <w:widowControl w:val="0"/>
        <w:rPr>
          <w:rFonts w:eastAsia="Times New Roman" w:cs="Times New Roman"/>
        </w:rPr>
      </w:pPr>
      <w:r w:rsidRPr="00EC14DE">
        <w:rPr>
          <w:rFonts w:eastAsia="Times New Roman" w:cs="Times New Roman"/>
        </w:rPr>
        <w:t xml:space="preserve">5. Ai sensi dell'articolo 2 del regolamento per i servizi di cassa e contabilità delle Capitanerie di porto, di cui al regio decreto 6 febbraio 1933, n. 391, i fondi di qualsiasi provenienza possono essere versati in conto corrente postale dai funzionari delegati. </w:t>
      </w:r>
    </w:p>
    <w:p w14:paraId="1A2A1813" w14:textId="77777777" w:rsidR="00C20AC8" w:rsidRPr="00EC14DE" w:rsidRDefault="00C20AC8" w:rsidP="007C594F">
      <w:pPr>
        <w:widowControl w:val="0"/>
        <w:rPr>
          <w:rFonts w:eastAsia="Times New Roman" w:cs="Times New Roman"/>
        </w:rPr>
      </w:pPr>
      <w:r w:rsidRPr="00EC14DE">
        <w:rPr>
          <w:rFonts w:eastAsia="Times New Roman" w:cs="Times New Roman"/>
        </w:rPr>
        <w:t xml:space="preserve">6. Le disposizioni legislative e regolamentari in vigore presso il Ministero della difesa si applicano, in quanto compatibili, alla gestione dei fondi, delle infrastrutture e dei mezzi di pertinenza delle Capitanerie di porto. </w:t>
      </w:r>
    </w:p>
    <w:p w14:paraId="5BEA487F" w14:textId="77777777" w:rsidR="00F54C53" w:rsidRPr="00EC14DE" w:rsidRDefault="00C20AC8" w:rsidP="007C594F">
      <w:pPr>
        <w:widowControl w:val="0"/>
        <w:rPr>
          <w:rFonts w:eastAsia="Times New Roman" w:cs="Times New Roman"/>
        </w:rPr>
      </w:pPr>
      <w:r w:rsidRPr="00EC14DE">
        <w:rPr>
          <w:rFonts w:eastAsia="Times New Roman" w:cs="Times New Roman"/>
        </w:rPr>
        <w:t>7. Il Ragioniere generale dello Stato è autorizzato a riassegnare allo stato di previsione del Ministero delle infrastrutture e della mobilità sostenibili per l’anno finanziario 2022 quota parte delle entrate versate al bilancio dello Stato derivanti dai corrispettivi di concessione offerti in sede di gara per il riaffidamento delle concessioni autostradali nella misura necessaria alla definizione delle eventuali pendenze con i concessionari uscenti</w:t>
      </w:r>
      <w:r w:rsidR="00F54C53" w:rsidRPr="00EC14DE">
        <w:rPr>
          <w:rFonts w:eastAsia="Times New Roman" w:cs="Times New Roman"/>
        </w:rPr>
        <w:t>.</w:t>
      </w:r>
    </w:p>
    <w:p w14:paraId="45EC27CC" w14:textId="77777777" w:rsidR="00F54C53" w:rsidRPr="00EC14DE" w:rsidRDefault="00B308E0"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r>
      <w:r w:rsidR="00F54C53" w:rsidRPr="00EC14DE">
        <w:rPr>
          <w:rFonts w:eastAsia="Times New Roman"/>
        </w:rPr>
        <w:t>(St</w:t>
      </w:r>
      <w:r w:rsidRPr="00EC14DE">
        <w:rPr>
          <w:rFonts w:eastAsia="Times New Roman"/>
        </w:rPr>
        <w:t xml:space="preserve">ato di previsione del Ministero </w:t>
      </w:r>
      <w:r w:rsidR="00F54C53" w:rsidRPr="00EC14DE">
        <w:rPr>
          <w:rFonts w:eastAsia="Times New Roman"/>
        </w:rPr>
        <w:t>dell’università e della ricerca)</w:t>
      </w:r>
    </w:p>
    <w:p w14:paraId="0FBF9A06" w14:textId="77777777" w:rsidR="00F54C53" w:rsidRPr="00EC14DE" w:rsidRDefault="00C20AC8" w:rsidP="007C594F">
      <w:pPr>
        <w:widowControl w:val="0"/>
      </w:pPr>
      <w:r w:rsidRPr="00EC14DE">
        <w:t>1. Sono autorizzati l'impegno e il pagamento delle spese del Ministero dell’università e della ricerca, per l'anno finanziario 2022, in conformità all'annesso stato di previsione (Tabella n. 11).</w:t>
      </w:r>
    </w:p>
    <w:p w14:paraId="448494A6" w14:textId="77777777" w:rsidR="00F54C53" w:rsidRPr="00EC14DE" w:rsidRDefault="00F000D7"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r>
      <w:r w:rsidR="00F54C53" w:rsidRPr="00EC14DE">
        <w:rPr>
          <w:rFonts w:eastAsia="Times New Roman"/>
        </w:rPr>
        <w:t>(Stato di previsione del Ministero</w:t>
      </w:r>
      <w:r w:rsidRPr="00EC14DE">
        <w:rPr>
          <w:rFonts w:eastAsia="Times New Roman"/>
        </w:rPr>
        <w:t xml:space="preserve"> </w:t>
      </w:r>
      <w:r w:rsidR="00F54C53" w:rsidRPr="00EC14DE">
        <w:rPr>
          <w:rFonts w:eastAsia="Times New Roman"/>
        </w:rPr>
        <w:t>della difesa e disposizioni relative)</w:t>
      </w:r>
    </w:p>
    <w:p w14:paraId="2D476E2F" w14:textId="77777777" w:rsidR="00C20AC8" w:rsidRPr="00EC14DE" w:rsidRDefault="00C20AC8" w:rsidP="007C594F">
      <w:pPr>
        <w:widowControl w:val="0"/>
        <w:rPr>
          <w:rFonts w:eastAsia="Times New Roman" w:cs="Times New Roman"/>
        </w:rPr>
      </w:pPr>
      <w:r w:rsidRPr="00EC14DE">
        <w:rPr>
          <w:rFonts w:eastAsia="Times New Roman" w:cs="Times New Roman"/>
        </w:rPr>
        <w:t xml:space="preserve">1. Sono autorizzati l'impegno e il pagamento delle spese del Ministero della difesa, per l'anno finanziario 2022, in conformità all'annesso stato di previsione (Tabella n. 12). </w:t>
      </w:r>
    </w:p>
    <w:p w14:paraId="285ADEA9" w14:textId="77777777" w:rsidR="00C20AC8" w:rsidRPr="00EC14DE" w:rsidRDefault="00C20AC8" w:rsidP="007C594F">
      <w:pPr>
        <w:widowControl w:val="0"/>
        <w:rPr>
          <w:rFonts w:eastAsia="Times New Roman" w:cs="Times New Roman"/>
        </w:rPr>
      </w:pPr>
      <w:r w:rsidRPr="00EC14DE">
        <w:rPr>
          <w:rFonts w:eastAsia="Times New Roman" w:cs="Times New Roman"/>
        </w:rPr>
        <w:t>2. Il numero massimo degli ufficiali ausiliari da mantenere in servizio come forza media nell'anno 2022, ai sensi dell'articolo 803 del codice di cui al decreto legislativo 15 marzo 2010, n. 66, è stabilito come segue:</w:t>
      </w:r>
    </w:p>
    <w:p w14:paraId="411CCE37" w14:textId="77777777" w:rsidR="00C20AC8" w:rsidRPr="00EC14DE" w:rsidRDefault="00C20AC8" w:rsidP="007C594F">
      <w:pPr>
        <w:widowControl w:val="0"/>
        <w:ind w:firstLine="284"/>
        <w:rPr>
          <w:rFonts w:eastAsia="Times New Roman" w:cs="Times New Roman"/>
        </w:rPr>
      </w:pPr>
      <w:r w:rsidRPr="00EC14DE">
        <w:rPr>
          <w:rFonts w:eastAsia="Times New Roman" w:cs="Times New Roman"/>
          <w:i/>
        </w:rPr>
        <w:t>a)</w:t>
      </w:r>
      <w:r w:rsidRPr="00EC14DE">
        <w:rPr>
          <w:rFonts w:eastAsia="Times New Roman" w:cs="Times New Roman"/>
        </w:rPr>
        <w:t xml:space="preserve"> ufficiali ausiliari, di cui alle lettere a) e c) del comma 1 dell'articolo 937 del codice di cui al decreto legislativo n. 66 del 2010: </w:t>
      </w:r>
    </w:p>
    <w:p w14:paraId="091FDF23"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1) Esercito n. 100;</w:t>
      </w:r>
    </w:p>
    <w:p w14:paraId="26BFFC50"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2) Marina n. 100;</w:t>
      </w:r>
    </w:p>
    <w:p w14:paraId="2E3F3E30"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3) Aeronautica n.70;</w:t>
      </w:r>
    </w:p>
    <w:p w14:paraId="4B4188F6"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4) Carabinieri n. 0.</w:t>
      </w:r>
    </w:p>
    <w:p w14:paraId="2C3010D2" w14:textId="77777777" w:rsidR="00C20AC8" w:rsidRPr="00EC14DE" w:rsidRDefault="00C20AC8" w:rsidP="007C594F">
      <w:pPr>
        <w:widowControl w:val="0"/>
        <w:ind w:firstLine="284"/>
        <w:rPr>
          <w:rFonts w:eastAsia="Times New Roman" w:cs="Times New Roman"/>
        </w:rPr>
      </w:pPr>
      <w:r w:rsidRPr="00EC14DE">
        <w:rPr>
          <w:rFonts w:eastAsia="Times New Roman" w:cs="Times New Roman"/>
          <w:i/>
        </w:rPr>
        <w:t>b)</w:t>
      </w:r>
      <w:r w:rsidRPr="00EC14DE">
        <w:rPr>
          <w:rFonts w:eastAsia="Times New Roman" w:cs="Times New Roman"/>
        </w:rPr>
        <w:t xml:space="preserve"> ufficiali ausiliari piloti di complemento, di cui alla lettera b) del comma 1 dell'articolo 937 del codice di cui al decreto legislativo n. 66 del 2010:</w:t>
      </w:r>
    </w:p>
    <w:p w14:paraId="4B021EC2"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1) Esercito n. 0;</w:t>
      </w:r>
    </w:p>
    <w:p w14:paraId="2B62C37B"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2) Marina n. 37;</w:t>
      </w:r>
    </w:p>
    <w:p w14:paraId="06F218B5"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3) Aeronautica n.40.</w:t>
      </w:r>
    </w:p>
    <w:p w14:paraId="10AA9520" w14:textId="77777777" w:rsidR="00C20AC8" w:rsidRPr="00EC14DE" w:rsidRDefault="00C20AC8" w:rsidP="007C594F">
      <w:pPr>
        <w:widowControl w:val="0"/>
        <w:ind w:firstLine="284"/>
        <w:rPr>
          <w:rFonts w:eastAsia="Times New Roman" w:cs="Times New Roman"/>
        </w:rPr>
      </w:pPr>
      <w:r w:rsidRPr="00EC14DE">
        <w:rPr>
          <w:rFonts w:eastAsia="Times New Roman" w:cs="Times New Roman"/>
          <w:i/>
        </w:rPr>
        <w:t>c)</w:t>
      </w:r>
      <w:r w:rsidRPr="00EC14DE">
        <w:rPr>
          <w:rFonts w:eastAsia="Times New Roman" w:cs="Times New Roman"/>
        </w:rPr>
        <w:t xml:space="preserve"> ufficiali ausiliari delle forze di completamento, di cui alla lettera d) del comma 1 dell'articolo 937 del codice di cui al decreto legislativo n. 66 del 2010:</w:t>
      </w:r>
    </w:p>
    <w:p w14:paraId="7B279708"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1) Esercito n. 104;</w:t>
      </w:r>
    </w:p>
    <w:p w14:paraId="38DA06C4"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2) Marina n. 54;</w:t>
      </w:r>
    </w:p>
    <w:p w14:paraId="1F426698"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3) Aeronautica n. 50;</w:t>
      </w:r>
    </w:p>
    <w:p w14:paraId="5166A371"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4) Carabinieri n.100.</w:t>
      </w:r>
    </w:p>
    <w:p w14:paraId="6999182A" w14:textId="77777777" w:rsidR="00C20AC8" w:rsidRPr="00EC14DE" w:rsidRDefault="00C20AC8" w:rsidP="007C594F">
      <w:pPr>
        <w:widowControl w:val="0"/>
        <w:rPr>
          <w:rFonts w:eastAsia="Times New Roman" w:cs="Times New Roman"/>
        </w:rPr>
      </w:pPr>
      <w:r w:rsidRPr="00EC14DE">
        <w:rPr>
          <w:rFonts w:eastAsia="Times New Roman" w:cs="Times New Roman"/>
        </w:rPr>
        <w:t>3. La consistenza organica degli allievi ufficiali delle accademie delle Forze armate, compresa l'Arma dei carabinieri, di cui alla lettera b) del comma 1 dell’articolo 803 del codice di cui al decreto legislativo 15 marzo 2010, n. 66, è fissata, per l'anno 2022, come segue:</w:t>
      </w:r>
    </w:p>
    <w:p w14:paraId="3140F599"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1) Esercito n. 300;</w:t>
      </w:r>
    </w:p>
    <w:p w14:paraId="241ACF77"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2) Marina n. 307;</w:t>
      </w:r>
    </w:p>
    <w:p w14:paraId="3395DCC0"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3) Aeronautica n. 287;</w:t>
      </w:r>
    </w:p>
    <w:p w14:paraId="17428765"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4) Carabinieri n. 121.</w:t>
      </w:r>
    </w:p>
    <w:p w14:paraId="6E50F8C4" w14:textId="77777777" w:rsidR="00C20AC8" w:rsidRPr="00EC14DE" w:rsidRDefault="00C20AC8" w:rsidP="007C594F">
      <w:pPr>
        <w:widowControl w:val="0"/>
        <w:rPr>
          <w:rFonts w:eastAsia="Times New Roman" w:cs="Times New Roman"/>
        </w:rPr>
      </w:pPr>
      <w:r w:rsidRPr="00EC14DE">
        <w:rPr>
          <w:rFonts w:eastAsia="Times New Roman" w:cs="Times New Roman"/>
        </w:rPr>
        <w:t>4. La consistenza organica degli allievi delle scuole sottufficiali delle Forze armate, esclusa 1'Arma dei carabinieri, di cui alla lettera b-bis) del comma l dell'articolo 803 del codice di cui al decreto legislativo 15 marzo 2010, n. 66, è stabilita, per l'anno 2022, come segue:</w:t>
      </w:r>
    </w:p>
    <w:p w14:paraId="3364778E"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1) Esercito n. 264;</w:t>
      </w:r>
    </w:p>
    <w:p w14:paraId="304B6245"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2) Marina n. 300;</w:t>
      </w:r>
    </w:p>
    <w:p w14:paraId="5705C92E" w14:textId="77777777" w:rsidR="00C20AC8" w:rsidRPr="00EC14DE" w:rsidRDefault="00C20AC8" w:rsidP="007C594F">
      <w:pPr>
        <w:widowControl w:val="0"/>
        <w:ind w:firstLine="284"/>
        <w:rPr>
          <w:rFonts w:eastAsia="Times New Roman" w:cs="Times New Roman"/>
        </w:rPr>
      </w:pPr>
      <w:r w:rsidRPr="00EC14DE">
        <w:rPr>
          <w:rFonts w:eastAsia="Times New Roman" w:cs="Times New Roman"/>
        </w:rPr>
        <w:t>3) Aeronautica n. 309.</w:t>
      </w:r>
    </w:p>
    <w:p w14:paraId="1403DAEE" w14:textId="77777777" w:rsidR="00C20AC8" w:rsidRPr="00EC14DE" w:rsidRDefault="00C20AC8" w:rsidP="007C594F">
      <w:pPr>
        <w:widowControl w:val="0"/>
        <w:autoSpaceDE w:val="0"/>
        <w:autoSpaceDN w:val="0"/>
        <w:adjustRightInd w:val="0"/>
        <w:rPr>
          <w:rFonts w:cs="Times New Roman"/>
        </w:rPr>
      </w:pPr>
      <w:r w:rsidRPr="00EC14DE">
        <w:rPr>
          <w:rFonts w:cs="Times New Roman"/>
        </w:rPr>
        <w:t xml:space="preserve">5. La consistenza organica degli allievi delle scuole militari, di cui alla lettera b-ter) del comma l dell'articolo 803 del codice di cui al decreto legislativo 15 marzo 2010, n. 66, è stabilita, per l'anno </w:t>
      </w:r>
      <w:r w:rsidRPr="00EC14DE">
        <w:rPr>
          <w:rFonts w:eastAsia="Times New Roman" w:cs="Times New Roman"/>
        </w:rPr>
        <w:t>2022</w:t>
      </w:r>
      <w:r w:rsidRPr="00EC14DE">
        <w:rPr>
          <w:rFonts w:cs="Times New Roman"/>
        </w:rPr>
        <w:t>, come segue:</w:t>
      </w:r>
    </w:p>
    <w:p w14:paraId="72F2A18B" w14:textId="77777777" w:rsidR="00C20AC8" w:rsidRPr="00EC14DE" w:rsidRDefault="00C20AC8" w:rsidP="007C594F">
      <w:pPr>
        <w:widowControl w:val="0"/>
        <w:autoSpaceDE w:val="0"/>
        <w:autoSpaceDN w:val="0"/>
        <w:adjustRightInd w:val="0"/>
        <w:ind w:firstLine="284"/>
        <w:rPr>
          <w:rFonts w:cs="Times New Roman"/>
        </w:rPr>
      </w:pPr>
      <w:r w:rsidRPr="00EC14DE">
        <w:rPr>
          <w:rFonts w:cs="Times New Roman"/>
        </w:rPr>
        <w:t>1) Esercito n. 540;</w:t>
      </w:r>
    </w:p>
    <w:p w14:paraId="612C3D77" w14:textId="77777777" w:rsidR="00C20AC8" w:rsidRPr="00EC14DE" w:rsidRDefault="00C20AC8" w:rsidP="007C594F">
      <w:pPr>
        <w:widowControl w:val="0"/>
        <w:autoSpaceDE w:val="0"/>
        <w:autoSpaceDN w:val="0"/>
        <w:adjustRightInd w:val="0"/>
        <w:ind w:firstLine="284"/>
        <w:rPr>
          <w:rFonts w:cs="Times New Roman"/>
        </w:rPr>
      </w:pPr>
      <w:r w:rsidRPr="00EC14DE">
        <w:rPr>
          <w:rFonts w:cs="Times New Roman"/>
        </w:rPr>
        <w:t>2) Marina n. 192;</w:t>
      </w:r>
    </w:p>
    <w:p w14:paraId="793EF4B0" w14:textId="77777777" w:rsidR="00C20AC8" w:rsidRPr="00EC14DE" w:rsidRDefault="00C20AC8" w:rsidP="007C594F">
      <w:pPr>
        <w:widowControl w:val="0"/>
        <w:ind w:firstLine="284"/>
        <w:rPr>
          <w:rFonts w:eastAsia="Times New Roman" w:cs="Times New Roman"/>
        </w:rPr>
      </w:pPr>
      <w:r w:rsidRPr="00EC14DE">
        <w:rPr>
          <w:rFonts w:cs="Times New Roman"/>
        </w:rPr>
        <w:t>3) Aeronautica n. 130.</w:t>
      </w:r>
    </w:p>
    <w:p w14:paraId="7F3E0ACE" w14:textId="77777777" w:rsidR="00C20AC8" w:rsidRPr="00EC14DE" w:rsidRDefault="00C20AC8" w:rsidP="007C594F">
      <w:pPr>
        <w:widowControl w:val="0"/>
        <w:rPr>
          <w:rFonts w:eastAsia="Times New Roman" w:cs="Times New Roman"/>
        </w:rPr>
      </w:pPr>
      <w:r w:rsidRPr="00EC14DE">
        <w:rPr>
          <w:rFonts w:eastAsia="Times New Roman" w:cs="Times New Roman"/>
        </w:rPr>
        <w:t>6. Alle spese per le infrastrutture multinazionali della NATO, sostenute a carico dei programmi «Servizi ed affari generali per le amministrazioni di competenza», nell'ambito della missione «Servizi istituzionali e generali delle amministrazioni pubbliche»</w:t>
      </w:r>
      <w:r w:rsidRPr="00EC14DE">
        <w:rPr>
          <w:rFonts w:cs="Times New Roman"/>
        </w:rPr>
        <w:t>,</w:t>
      </w:r>
      <w:r w:rsidRPr="00EC14DE">
        <w:rPr>
          <w:rFonts w:eastAsia="Times New Roman" w:cs="Times New Roman"/>
        </w:rPr>
        <w:t xml:space="preserve"> «Approntamento e impiego Carabinieri per la difesa e la sicurezza» e «Pianificazione generale delle Forze Armate e approvvigionamenti militari», nell'ambito della missione «Difesa e sicurezza del territorio» dello stato di previsione del Ministero della difesa, per l’anno finanziario 2022, si applicano le direttive che definiscono le procedure di negoziazione ammesse dalla NATO in materia di affidamento dei lavori. </w:t>
      </w:r>
    </w:p>
    <w:p w14:paraId="0A317F3E" w14:textId="77777777" w:rsidR="00C20AC8" w:rsidRPr="00EC14DE" w:rsidRDefault="00C20AC8" w:rsidP="007C594F">
      <w:pPr>
        <w:widowControl w:val="0"/>
        <w:rPr>
          <w:rFonts w:eastAsia="Times New Roman" w:cs="Times New Roman"/>
        </w:rPr>
      </w:pPr>
      <w:r w:rsidRPr="00EC14DE">
        <w:rPr>
          <w:rFonts w:eastAsia="Times New Roman" w:cs="Times New Roman"/>
        </w:rPr>
        <w:t xml:space="preserve">7. Negli elenchi n. 1 e n. 2 allegati allo stato di previsione del Ministero della difesa sono descritte le spese per le quali si possono effettuare, per l'anno finanziario 2022, i prelevamenti dai fondi a disposizione relativi rispettivamente alle tre Forze armate e all'Arma dei carabinieri, ai sensi dell’articolo 613 del codice di cui al decreto legislativo 15 marzo 2010, n. 66. </w:t>
      </w:r>
    </w:p>
    <w:p w14:paraId="27EB317C" w14:textId="77777777" w:rsidR="00C20AC8" w:rsidRPr="00EC14DE" w:rsidRDefault="00C20AC8" w:rsidP="007C594F">
      <w:pPr>
        <w:widowControl w:val="0"/>
        <w:rPr>
          <w:rFonts w:eastAsia="Times New Roman" w:cs="Times New Roman"/>
        </w:rPr>
      </w:pPr>
      <w:r w:rsidRPr="00EC14DE">
        <w:rPr>
          <w:rFonts w:eastAsia="Times New Roman" w:cs="Times New Roman"/>
        </w:rPr>
        <w:t>8. Il Ragioniere generale dello Stato è autorizzato a provvedere, con propri decreti, alla riassegnazione ai pertinenti programmi dello stato di previsione del Ministero della difesa, per l’anno finanziario 2022, delle somme versate all’entrata del bilancio dello Stato dal CONI, dalla società Sport e salute Spa, dal Comitato italiano paralimpico, dalle singole federazioni sportive nazionali, dalle regioni, dalle province, dai comuni e da altri enti pubblici e privati, destinate alle attività dei gruppi sportivi delle Forze armate.</w:t>
      </w:r>
    </w:p>
    <w:p w14:paraId="04D63239" w14:textId="77777777" w:rsidR="00C20AC8" w:rsidRPr="00EC14DE" w:rsidRDefault="00C20AC8" w:rsidP="007C594F">
      <w:pPr>
        <w:widowControl w:val="0"/>
        <w:rPr>
          <w:rFonts w:eastAsia="Times New Roman" w:cs="Times New Roman"/>
        </w:rPr>
      </w:pPr>
      <w:r w:rsidRPr="00EC14DE">
        <w:rPr>
          <w:rFonts w:eastAsia="Times New Roman" w:cs="Times New Roman"/>
        </w:rPr>
        <w:t>9. Il Ragioniere generale dello Stato è autorizzato a provvedere, con propri decreti, alla riassegnazione ai pertinenti capitoli del programma «Approntamento e impiego Carabinieri per la difesa e la sicurezza», nell'ambito della missione «Difesa e sicurezza del territorio» dello stato di previsione del Ministero della difesa, per l’anno finanziario 2022, delle somme versate all’entrata del bilancio dello Stato dalla Banca d’Italia per i servizi di vigilanza e custodia resi presso le sue sedi dal personale dell’Arma dei carabinieri.</w:t>
      </w:r>
    </w:p>
    <w:p w14:paraId="285175D2" w14:textId="77777777" w:rsidR="00C20AC8" w:rsidRPr="00EC14DE" w:rsidRDefault="00C20AC8" w:rsidP="007C594F">
      <w:pPr>
        <w:widowControl w:val="0"/>
        <w:rPr>
          <w:rFonts w:eastAsia="Times New Roman" w:cs="Times New Roman"/>
        </w:rPr>
      </w:pPr>
      <w:r w:rsidRPr="00EC14DE">
        <w:rPr>
          <w:rFonts w:eastAsia="Times New Roman" w:cs="Times New Roman"/>
        </w:rPr>
        <w:t>10. Il Ministro della difesa, sentito il Ministro dell’economia e delle finanze per gli aspetti finanziari, è autorizzato a ripartire, con propri decreti, le somme iscritte nell’anno 2022 sul pertinente capitolo dello stato di previsione del Ministero della difesa da destinare alle associazioni combattentistiche, di cui all’articolo 2195 del codice di cui al decreto legislativo 15 marzo 2010, n. 66.</w:t>
      </w:r>
    </w:p>
    <w:p w14:paraId="5821CD35" w14:textId="77777777" w:rsidR="00C20AC8" w:rsidRPr="00EC14DE" w:rsidRDefault="00C20AC8" w:rsidP="007C594F">
      <w:pPr>
        <w:widowControl w:val="0"/>
        <w:rPr>
          <w:rFonts w:eastAsia="Times New Roman" w:cs="Times New Roman"/>
        </w:rPr>
      </w:pPr>
      <w:r w:rsidRPr="00EC14DE">
        <w:rPr>
          <w:rFonts w:eastAsia="Times New Roman" w:cs="Times New Roman"/>
        </w:rPr>
        <w:t>11. Il Ministro dell’economia e delle finanze è autorizzato ad apportare, con propri decreti, su proposta del Ministro della difesa, per l’anno finanziario 2022, le variazioni compensative, in termini di competenza e di cassa, tra il fondo per l'efficienza dei servizi istituzionali delle Forze armate e il fondo per la retribuzione della produttività del personale civile dello stato di previsione del Ministero della difesa in applicazione dell’articolo 1805-bis del decreto legislativo 15 marzo 2010, n. 66.</w:t>
      </w:r>
    </w:p>
    <w:p w14:paraId="23CA54E1" w14:textId="77777777" w:rsidR="00F54C53" w:rsidRPr="00EC14DE" w:rsidRDefault="00C20AC8" w:rsidP="007C594F">
      <w:pPr>
        <w:widowControl w:val="0"/>
        <w:rPr>
          <w:rFonts w:eastAsia="Times New Roman" w:cs="Times New Roman"/>
        </w:rPr>
      </w:pPr>
      <w:r w:rsidRPr="00EC14DE">
        <w:rPr>
          <w:rFonts w:eastAsia="Times New Roman" w:cs="Times New Roman"/>
        </w:rPr>
        <w:t>12. Il Ministro della difesa, previo assenso del Ministero dell’economia e delle finanze – Dipartimento della Ragioneria generale dello Stato, è autorizzato ad apportare, con propri decreti, per l’anno finanziario 2022, variazioni compensative in termini di competenza e di cassa, tra i capitoli di spesa dello stato di previsione del medesimo Ministero relativi ai fondi scorta di cui all’articolo 7-ter del decreto legislativo 12 maggio 2016, n. 90. Il Ministero della difesa, con proprie determinazioni, assicura l’integrale versamento, nel medesimo esercizio, degli importi iscritti nelle unità elementari di bilancio dello stato di previsione dell’entrata di cui al comma 4 del predetto articolo 7-ter.</w:t>
      </w:r>
    </w:p>
    <w:p w14:paraId="2427016C" w14:textId="77777777" w:rsidR="00F54C53" w:rsidRPr="00EC14DE" w:rsidRDefault="00F000D7"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r>
      <w:r w:rsidR="00F54C53" w:rsidRPr="00EC14DE">
        <w:rPr>
          <w:rFonts w:eastAsia="Times New Roman"/>
        </w:rPr>
        <w:t>(Stato di previsione del Ministero</w:t>
      </w:r>
      <w:r w:rsidRPr="00EC14DE">
        <w:rPr>
          <w:rFonts w:eastAsia="Times New Roman"/>
        </w:rPr>
        <w:t xml:space="preserve"> </w:t>
      </w:r>
      <w:r w:rsidR="00F54C53" w:rsidRPr="00EC14DE">
        <w:rPr>
          <w:rFonts w:eastAsia="Times New Roman"/>
        </w:rPr>
        <w:t>delle politiche agricole alimentari e forestali e disposizioni relative)</w:t>
      </w:r>
    </w:p>
    <w:p w14:paraId="076E633B" w14:textId="77777777" w:rsidR="00013DD6" w:rsidRPr="00EC14DE" w:rsidRDefault="00013DD6" w:rsidP="007C594F">
      <w:pPr>
        <w:widowControl w:val="0"/>
        <w:rPr>
          <w:rFonts w:eastAsia="Times New Roman" w:cs="Times New Roman"/>
        </w:rPr>
      </w:pPr>
      <w:r w:rsidRPr="00EC14DE">
        <w:rPr>
          <w:rFonts w:eastAsia="Times New Roman" w:cs="Times New Roman"/>
        </w:rPr>
        <w:t xml:space="preserve">1. Sono autorizzati l'impegno e il pagamento delle spese del Ministero delle politiche agricole alimentari e forestali, per l'anno finanziario 2022, in conformità all'annesso stato di previsione (Tabella n. 13). </w:t>
      </w:r>
    </w:p>
    <w:p w14:paraId="30E17D7D" w14:textId="77777777" w:rsidR="00013DD6" w:rsidRPr="00EC14DE" w:rsidRDefault="00013DD6" w:rsidP="007C594F">
      <w:pPr>
        <w:widowControl w:val="0"/>
        <w:rPr>
          <w:rFonts w:eastAsia="Times New Roman" w:cs="Times New Roman"/>
        </w:rPr>
      </w:pPr>
      <w:r w:rsidRPr="00EC14DE">
        <w:rPr>
          <w:rFonts w:eastAsia="Times New Roman" w:cs="Times New Roman"/>
        </w:rPr>
        <w:t xml:space="preserve">2. Per l'attuazione del decreto legislativo 26 maggio 2004, n. 154 e del decreto legislativo 27 maggio 2005, n. 100, il Ministro dell'economia e delle finanze è autorizzato ad apportare, con propri decreti, nell'ambito della parte corrente e nell'ambito del conto capitale dello stato di previsione del Ministero delle politiche agricole alimentari e forestali, per l'anno finanziario 2022, le variazioni compensative di bilancio, in termini di competenza e di cassa, occorrenti per la modifica della ripartizione delle risorse tra i vari settori d'intervento del Programma nazionale della pesca e dell'acquacoltura. </w:t>
      </w:r>
    </w:p>
    <w:p w14:paraId="559800F2" w14:textId="77777777" w:rsidR="00013DD6" w:rsidRPr="00EC14DE" w:rsidRDefault="00013DD6" w:rsidP="007C594F">
      <w:pPr>
        <w:widowControl w:val="0"/>
        <w:rPr>
          <w:rFonts w:eastAsia="Times New Roman" w:cs="Times New Roman"/>
        </w:rPr>
      </w:pPr>
      <w:r w:rsidRPr="00EC14DE">
        <w:rPr>
          <w:rFonts w:eastAsia="Times New Roman" w:cs="Times New Roman"/>
        </w:rPr>
        <w:t>3. Il Ministro delle politiche agricole alimentari e forestali, previo assenso del Ministero dell’economia e delle finanze – Dipartimento della Ragioneria generale dello Stato, è autorizzato, per l’anno finanziario 2022, a provvedere con propri decreti al riparto del fondo per il funzionamento del comitato tecnico faunistico-venatorio nazionale, per la partecipazione italiana al Consiglio internazionale della caccia e della conservazione della selvaggina e per la dotazione delle associazioni venatorie nazionali riconosciute, di cui all'articolo 24, comma 1, della legge 11 febbraio 1992, n. 157, tra i competenti capitoli dello stato di previsione del Ministero delle politiche agricole alimentari e forestali, secondo le percentuali indicate all'articolo 24, comma 2, della legge n. 157 del 1992.</w:t>
      </w:r>
    </w:p>
    <w:p w14:paraId="43692A44" w14:textId="77777777" w:rsidR="00013DD6" w:rsidRPr="00EC14DE" w:rsidRDefault="00013DD6" w:rsidP="007C594F">
      <w:pPr>
        <w:widowControl w:val="0"/>
        <w:rPr>
          <w:rFonts w:eastAsia="Times New Roman" w:cs="Times New Roman"/>
        </w:rPr>
      </w:pPr>
      <w:r w:rsidRPr="00EC14DE">
        <w:rPr>
          <w:rFonts w:eastAsia="Times New Roman" w:cs="Times New Roman"/>
        </w:rPr>
        <w:t>4. Per l’anno finanziario 2022 il Ministro dell’economia e delle finanze è autorizzato ad apportare, con propri decreti, nello stato di previsione del Ministero delle politiche agricole alimentari e forestali, le variazioni compensative di bilancio, in termini di competenza e di cassa, occorrenti per l’attuazione di quanto stabilito dagli articoli 12 e 23-quater del decreto-legge 6 luglio 2012, n. 95, convertito, con modificazioni, dalla legge 7 agosto 2012, n. 135, in ordine alla soppressione e riorganizzazione di enti vigilati dal medesimo Ministero.</w:t>
      </w:r>
    </w:p>
    <w:p w14:paraId="34875130" w14:textId="77777777" w:rsidR="00013DD6" w:rsidRPr="00EC14DE" w:rsidRDefault="00013DD6" w:rsidP="007C594F">
      <w:pPr>
        <w:widowControl w:val="0"/>
        <w:rPr>
          <w:rFonts w:eastAsia="Times New Roman" w:cs="Times New Roman"/>
        </w:rPr>
      </w:pPr>
      <w:r w:rsidRPr="00EC14DE">
        <w:rPr>
          <w:rFonts w:eastAsia="Times New Roman" w:cs="Times New Roman"/>
        </w:rPr>
        <w:t>5. Il Ministro dell’economia e delle finanze è autorizzato a ripartire, con propri decreti, per l’anno finanziario 2022, tra i pertinenti programmi dello stato di previsione del Ministero delle politiche agricole alimentari e forestali, le somme iscritte, in termini di residui, di competenza e di cassa, nel capitolo 7810 “Somme da ripartire per assicurare la continuità degli interventi pubblici nel settore agricolo e forestale” istituito nel programma «Politiche competitive, della qualità agroalimentare, della pesca, dell’ippica e mezzi tecnici di produzione», nell'ambito della missione «Agricoltura, politiche agroalimentari e pesca» del medesimo stato di previsione, destinato alle finalità di cui alla legge 23 dicembre 1999, n. 499, recante razionalizzazione degli interventi nel settore agricolo, agroalimentare, agroindustriale e forestale.</w:t>
      </w:r>
    </w:p>
    <w:p w14:paraId="46427A26" w14:textId="77777777" w:rsidR="00F54C53" w:rsidRPr="00EC14DE" w:rsidRDefault="00013DD6" w:rsidP="007C594F">
      <w:pPr>
        <w:widowControl w:val="0"/>
        <w:rPr>
          <w:rFonts w:eastAsia="Times New Roman" w:cs="Times New Roman"/>
        </w:rPr>
      </w:pPr>
      <w:r w:rsidRPr="00EC14DE">
        <w:rPr>
          <w:rFonts w:eastAsia="Times New Roman" w:cs="Times New Roman"/>
        </w:rPr>
        <w:t>6. Il Ragioniere generale dello Stato è autorizzato a provvedere, con propri decreti, alla riassegnazione, ai pertinenti programmi dello stato di previsione del Ministero delle politiche agricole alimentari e forestali, per l'anno finanziario 2022, delle somme versate all'entrata del bilancio dello Stato da amministrazioni ed enti pubblici in virtù di accordi di programma, convenzioni ed intese per il raggiungimento di finalità comuni in materia di telelavoro e altre forme di lavoro a distanza, ai sensi dell’articolo 4 della legge 16 giugno 1998, n. 191, dell’articolo 3 del regolamento di cui al decreto del Presidente della Repubblica 8 marzo 1999, n. 70, nonché di progetti di cooperazione internazionale ai sensi dell’articolo 24 della legge 11 agosto 2014, n. 125 e dell’articolo 15 della legge 7 agosto 1990, n. 241.</w:t>
      </w:r>
    </w:p>
    <w:p w14:paraId="7F54EA3A" w14:textId="77777777" w:rsidR="00F000D7" w:rsidRPr="00EC14DE" w:rsidRDefault="00F000D7"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r>
      <w:r w:rsidR="00F54C53" w:rsidRPr="00EC14DE">
        <w:rPr>
          <w:rFonts w:eastAsia="Times New Roman"/>
        </w:rPr>
        <w:t>(Stato di previsione del Ministero della cultura e disposizioni relative)</w:t>
      </w:r>
    </w:p>
    <w:p w14:paraId="77AABEE2" w14:textId="77777777" w:rsidR="00013DD6" w:rsidRPr="00EC14DE" w:rsidRDefault="00013DD6" w:rsidP="007C594F">
      <w:pPr>
        <w:widowControl w:val="0"/>
      </w:pPr>
      <w:r w:rsidRPr="00EC14DE">
        <w:t xml:space="preserve">1. Sono autorizzati l'impegno e il pagamento delle spese del Ministero della cultura, per l'anno finanziario 2022, in conformità all'annesso stato di previsione (Tabella n. 14). </w:t>
      </w:r>
    </w:p>
    <w:p w14:paraId="6C69E234" w14:textId="77777777" w:rsidR="00013DD6" w:rsidRPr="00EC14DE" w:rsidRDefault="00013DD6" w:rsidP="007C594F">
      <w:pPr>
        <w:widowControl w:val="0"/>
      </w:pPr>
      <w:r w:rsidRPr="00EC14DE">
        <w:t xml:space="preserve">2. Il Ministro dell'economia e delle finanze è autorizzato ad apportare, con propri decreti, su proposta del Ministro della cultura, per l'anno finanziario 2022, le variazioni compensative di bilancio, in termini di residui, di competenza e di cassa, tra i capitoli iscritti nel programma «Sostegno, valorizzazione e tutela del settore dello spettacolo dal vivo», nell’ambito della missione «Tutela e valorizzazione dei beni e attività culturali e paesaggistici» dello stato di previsione del Ministero della cultura relativi al Fondo unico per lo spettacolo. </w:t>
      </w:r>
    </w:p>
    <w:p w14:paraId="3517D9B4" w14:textId="77777777" w:rsidR="00013DD6" w:rsidRPr="00EC14DE" w:rsidRDefault="00013DD6" w:rsidP="007C594F">
      <w:pPr>
        <w:widowControl w:val="0"/>
      </w:pPr>
      <w:r w:rsidRPr="00EC14DE">
        <w:t>3. Ai fini di una razionale utilizzazione delle risorse di bilancio, per l’anno finanziario 2022, il Ministro dell’economia e delle finanze è autorizzato ad apportare, con propri decreti, adottati su proposta del Ministro della cultura, comunicati alle competenti Commissioni parlamentari e trasmessi alla Corte dei conti per la registrazione, le occorrenti variazioni compensative di bilancio, in termini di competenza e di cassa, tra i capitoli iscritti nei pertinenti programmi dello stato di previsione del Ministero della cultura, relativi agli acquisti ed alle espropriazioni per pubblica utilità, nonché per l’esercizio del diritto di prelazione da parte dello Stato su immobili di interesse archeologico e monumentale e su cose di arte antica, medievale, moderna e contemporanea e di interesse artistico e storico, nonché su materiale archivistico pregevole e materiale bibliografico, raccolte bibliografiche, libri, documenti, manoscritti e pubblicazioni periodiche, ivi comprese le spese derivanti dall’esercizio del diritto di prelazione, del diritto di acquisto delle cose denunciate per l’esportazione e dell’espropriazione, a norma di legge, di materiale bibliografico prezioso e raro.</w:t>
      </w:r>
    </w:p>
    <w:p w14:paraId="6F07AF1F" w14:textId="77777777" w:rsidR="00F54C53" w:rsidRPr="00EC14DE" w:rsidRDefault="00013DD6" w:rsidP="007C594F">
      <w:pPr>
        <w:widowControl w:val="0"/>
      </w:pPr>
      <w:r w:rsidRPr="00EC14DE">
        <w:t>4. Al pagamento delle retribuzioni delle operazioni e dei servizi svolti in attuazione del piano nazionale straordinario di valorizzazione degli istituti e dei luoghi della cultura dal relativo personale si provvede mediante ordini collettivi di pagamento con il sistema denominato “cedolino unico”, ai sensi dell’articolo 2, comma 197, della legge 23 dicembre 2009, n. 191. A tal fine il Ministro dell'economia e delle finanze è autorizzato per l’anno finanziario 2022 ad apportare, con propri decreti, su proposta del Ministro della cultura, le variazioni compensative di bilancio in termini di competenza e di cassa su appositi piani gestionali dei capitoli relativi alle competenze accessorie del personale.</w:t>
      </w:r>
      <w:r w:rsidR="00F54C53" w:rsidRPr="00EC14DE">
        <w:t xml:space="preserve"> </w:t>
      </w:r>
    </w:p>
    <w:p w14:paraId="14D62536" w14:textId="77777777" w:rsidR="00F54C53" w:rsidRPr="00EC14DE" w:rsidRDefault="00F000D7"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r>
      <w:r w:rsidR="00F54C53" w:rsidRPr="00EC14DE">
        <w:rPr>
          <w:rFonts w:eastAsia="Times New Roman"/>
        </w:rPr>
        <w:t>(Stato di previsione del Ministero</w:t>
      </w:r>
      <w:r w:rsidRPr="00EC14DE">
        <w:rPr>
          <w:rFonts w:eastAsia="Times New Roman"/>
        </w:rPr>
        <w:t xml:space="preserve"> </w:t>
      </w:r>
      <w:r w:rsidR="00F54C53" w:rsidRPr="00EC14DE">
        <w:rPr>
          <w:rFonts w:eastAsia="Times New Roman"/>
        </w:rPr>
        <w:t>della salute e disposizioni relative)</w:t>
      </w:r>
    </w:p>
    <w:p w14:paraId="765E4049" w14:textId="77777777" w:rsidR="00013DD6" w:rsidRPr="00EC14DE" w:rsidRDefault="00013DD6" w:rsidP="007C594F">
      <w:pPr>
        <w:widowControl w:val="0"/>
      </w:pPr>
      <w:r w:rsidRPr="00EC14DE">
        <w:t xml:space="preserve">1. Sono autorizzati l'impegno e il pagamento delle spese del Ministero della salute, per l'anno finanziario 2022, in conformità all'annesso stato di previsione (Tabella n. 15). </w:t>
      </w:r>
    </w:p>
    <w:p w14:paraId="18D52F27" w14:textId="77777777" w:rsidR="00F54C53" w:rsidRPr="00EC14DE" w:rsidRDefault="00013DD6" w:rsidP="007C594F">
      <w:pPr>
        <w:widowControl w:val="0"/>
      </w:pPr>
      <w:r w:rsidRPr="00EC14DE">
        <w:t>2. Per l’anno finanziario 2022, il Ministro dell’economia e delle finanze è autorizzato ad apportare, con propri decreti, su proposta del Ministro della salute, variazioni compensative in termini di competenza e di cassa tra gli stanziamenti alimentati dal riparto della quota di cui all’articolo 12, comma 2, del decreto legislativo 30 dicembre 1992, n. 502, iscritti in bilancio nell’ambito della missione «Ricerca e innovazione» dello stato di previsione del Ministero della salute, restando precluso l’utilizzo degli stanziamenti di conto capitale per finanziare spese correnti.</w:t>
      </w:r>
    </w:p>
    <w:p w14:paraId="457E9DBF" w14:textId="77777777" w:rsidR="00F54C53" w:rsidRPr="00EC14DE" w:rsidRDefault="006F599A"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r>
      <w:r w:rsidR="00F54C53" w:rsidRPr="00EC14DE">
        <w:rPr>
          <w:rFonts w:eastAsia="Times New Roman"/>
        </w:rPr>
        <w:t>(Stato di previsione del Ministero</w:t>
      </w:r>
      <w:r w:rsidRPr="00EC14DE">
        <w:rPr>
          <w:rFonts w:eastAsia="Times New Roman"/>
        </w:rPr>
        <w:t xml:space="preserve"> </w:t>
      </w:r>
      <w:r w:rsidR="00F54C53" w:rsidRPr="00EC14DE">
        <w:rPr>
          <w:rFonts w:eastAsia="Times New Roman"/>
        </w:rPr>
        <w:t>del turismo)</w:t>
      </w:r>
    </w:p>
    <w:p w14:paraId="2576732B" w14:textId="77777777" w:rsidR="00F54C53" w:rsidRPr="00EC14DE" w:rsidRDefault="00013DD6" w:rsidP="007C594F">
      <w:pPr>
        <w:widowControl w:val="0"/>
        <w:rPr>
          <w:rFonts w:eastAsia="Times New Roman" w:cs="Times New Roman"/>
        </w:rPr>
      </w:pPr>
      <w:r w:rsidRPr="00EC14DE">
        <w:rPr>
          <w:rFonts w:eastAsia="Times New Roman" w:cs="Times New Roman"/>
        </w:rPr>
        <w:t>1. Sono autorizzati l'impegno e il pagamento delle spese del Ministero del turismo, per l'anno finanziario 2022, in conformità all'annesso stato di previsione (Tabella n. 16).</w:t>
      </w:r>
    </w:p>
    <w:p w14:paraId="4C2CF6BC" w14:textId="77777777" w:rsidR="00F54C53" w:rsidRPr="00EC14DE" w:rsidRDefault="006F599A" w:rsidP="007C594F">
      <w:pPr>
        <w:pStyle w:val="Titolo3"/>
        <w:keepNext w:val="0"/>
        <w:keepLines w:val="0"/>
        <w:widowControl w:val="0"/>
        <w:rPr>
          <w:rFonts w:eastAsia="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rPr>
        <w:br/>
      </w:r>
      <w:r w:rsidR="00F54C53" w:rsidRPr="00EC14DE">
        <w:rPr>
          <w:rFonts w:eastAsia="Times New Roman"/>
        </w:rPr>
        <w:t>(Totale generale della spesa)</w:t>
      </w:r>
    </w:p>
    <w:p w14:paraId="74027A63" w14:textId="77777777" w:rsidR="00F54C53" w:rsidRPr="00EC14DE" w:rsidRDefault="00013DD6" w:rsidP="007C594F">
      <w:pPr>
        <w:widowControl w:val="0"/>
        <w:ind w:right="-142"/>
        <w:rPr>
          <w:rFonts w:eastAsia="Times New Roman" w:cs="Times New Roman"/>
        </w:rPr>
      </w:pPr>
      <w:r w:rsidRPr="00EC14DE">
        <w:rPr>
          <w:rFonts w:eastAsia="Times New Roman" w:cs="Times New Roman"/>
        </w:rPr>
        <w:t>1. Sono approvati, rispettivamente, in euro 1.057.325.063.087, in euro 1.073.859.056.560 e in euro 1.039.873.635.668 in termini di competenza, nonché in euro 1.083.343.794.126, in euro 1.089.284.608.807, in euro 1.050.585.135.632 in termini di cassa, i totali generali della spesa dello Stato per il triennio 2022-2024.</w:t>
      </w:r>
      <w:r w:rsidR="00F54C53" w:rsidRPr="00EC14DE">
        <w:rPr>
          <w:rFonts w:eastAsia="Times New Roman" w:cs="Times New Roman"/>
        </w:rPr>
        <w:t xml:space="preserve"> </w:t>
      </w:r>
    </w:p>
    <w:p w14:paraId="1E1E1DFB" w14:textId="77777777" w:rsidR="00F54C53" w:rsidRPr="00EC14DE" w:rsidRDefault="006F599A"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rPr>
          <w:rStyle w:val="Titolo3Carattere"/>
          <w:b/>
          <w:i/>
        </w:rPr>
        <w:br/>
      </w:r>
      <w:r w:rsidR="00F54C53" w:rsidRPr="00EC14DE">
        <w:rPr>
          <w:rStyle w:val="Titolo3Carattere"/>
          <w:b/>
          <w:i/>
        </w:rPr>
        <w:t>(Quadro generale riassuntivo</w:t>
      </w:r>
      <w:r w:rsidR="00F54C53" w:rsidRPr="00EC14DE">
        <w:t>)</w:t>
      </w:r>
    </w:p>
    <w:p w14:paraId="0470DCF6" w14:textId="77777777" w:rsidR="00F54C53" w:rsidRPr="00EC14DE" w:rsidRDefault="00013DD6" w:rsidP="007C594F">
      <w:pPr>
        <w:widowControl w:val="0"/>
      </w:pPr>
      <w:r w:rsidRPr="00EC14DE">
        <w:t>1. È approvato, in termini di competenza e di cassa, per il triennio 2022-2024, il quadro generale riassuntivo del bilancio dello Stato, con le tabelle allegate.</w:t>
      </w:r>
      <w:r w:rsidR="00F54C53" w:rsidRPr="00EC14DE">
        <w:t xml:space="preserve"> </w:t>
      </w:r>
    </w:p>
    <w:p w14:paraId="78D9745F" w14:textId="77777777" w:rsidR="00F54C53" w:rsidRPr="00EC14DE" w:rsidRDefault="006F599A" w:rsidP="007C594F">
      <w:pPr>
        <w:pStyle w:val="Titolo3"/>
        <w:keepNext w:val="0"/>
        <w:keepLines w:val="0"/>
        <w:widowControl w:val="0"/>
        <w:rPr>
          <w:rFonts w:eastAsia="Times New Roman" w:cs="Times New Roman"/>
        </w:rPr>
      </w:pPr>
      <w:r w:rsidRPr="00EC14DE">
        <w:t xml:space="preserve">ART. </w:t>
      </w:r>
      <w:r w:rsidRPr="00EC14DE">
        <w:fldChar w:fldCharType="begin"/>
      </w:r>
      <w:r w:rsidRPr="00EC14DE">
        <w:instrText xml:space="preserve"> AUTONUM  \* Arabic </w:instrText>
      </w:r>
      <w:r w:rsidRPr="00EC14DE">
        <w:fldChar w:fldCharType="end"/>
      </w:r>
      <w:r w:rsidRPr="00EC14DE">
        <w:rPr>
          <w:rFonts w:eastAsia="Times New Roman" w:cs="Times New Roman"/>
        </w:rPr>
        <w:br/>
      </w:r>
      <w:r w:rsidR="00F54C53" w:rsidRPr="00EC14DE">
        <w:rPr>
          <w:rFonts w:eastAsia="Times New Roman" w:cs="Times New Roman"/>
        </w:rPr>
        <w:t>(Disposizioni diverse)</w:t>
      </w:r>
    </w:p>
    <w:p w14:paraId="49526AC1" w14:textId="77777777" w:rsidR="00013DD6" w:rsidRPr="00EC14DE" w:rsidRDefault="00013DD6" w:rsidP="007C594F">
      <w:pPr>
        <w:widowControl w:val="0"/>
      </w:pPr>
      <w:bookmarkStart w:id="128" w:name="_Toc56448618"/>
      <w:r w:rsidRPr="00EC14DE">
        <w:t xml:space="preserve">1. In relazione all'accertamento dei residui di entrata e di spesa per i quali non esistono nel bilancio di previsione i corrispondenti capitoli nell'ambito dei programmi interessati, il Ministro dell'economia e delle finanze è autorizzato ad istituire gli occorrenti capitoli nei pertinenti programmi con propri decreti da comunicare alla Corte dei conti. </w:t>
      </w:r>
    </w:p>
    <w:p w14:paraId="79D64CE5" w14:textId="77777777" w:rsidR="00013DD6" w:rsidRPr="00EC14DE" w:rsidRDefault="00013DD6" w:rsidP="007C594F">
      <w:pPr>
        <w:widowControl w:val="0"/>
      </w:pPr>
      <w:r w:rsidRPr="00EC14DE">
        <w:t xml:space="preserve">2. Il Ministro dell'economia e delle finanze è autorizzato a trasferire, in termini di competenza e di cassa, con propri decreti, su proposta dei Ministri interessati, per l’anno finanziario 2022, le disponibilità esistenti su altri programmi degli stati di previsione delle amministrazioni competenti a favore di appositi programmi destinati all'attuazione di interventi cofinanziati dalla Unione europea. </w:t>
      </w:r>
    </w:p>
    <w:p w14:paraId="2D50E4C7" w14:textId="77777777" w:rsidR="00013DD6" w:rsidRPr="00EC14DE" w:rsidRDefault="00013DD6" w:rsidP="007C594F">
      <w:pPr>
        <w:widowControl w:val="0"/>
      </w:pPr>
      <w:r w:rsidRPr="00EC14DE">
        <w:t xml:space="preserve">3. In relazione ai provvedimenti di riorganizzazione delle amministrazioni pubbliche, il Ministro dell'economia e delle finanze, su proposta dei Ministri competenti, per l’anno finanziario 2022, è autorizzato ad apportare, con propri decreti, da comunicare alle Commissioni parlamentari competenti, le variazioni compensative di bilancio, anche tra diversi stati di previsione in termini di residui, di competenza e di cassa, ivi comprese l'istituzione, la modifica e la soppressione di missioni e programmi, che si rendano necessarie in relazione all’accorpamento di funzioni o al trasferimento di competenze. </w:t>
      </w:r>
    </w:p>
    <w:p w14:paraId="13657C3D" w14:textId="77777777" w:rsidR="00013DD6" w:rsidRPr="00EC14DE" w:rsidRDefault="00013DD6" w:rsidP="007C594F">
      <w:pPr>
        <w:widowControl w:val="0"/>
      </w:pPr>
      <w:r w:rsidRPr="00EC14DE">
        <w:t>4. Il Ministro dell'economia e delle finanze è autorizzato ad apportare, con propri decreti, per l’anno finanziario 2022, le variazioni di bilancio connesse con l'attuazione dei contratti collettivi nazionali di lavoro del personale dipendente dalle amministrazioni dello Stato, stipulati ai sensi dell'articolo 40 del decreto legislativo 30 marzo 2001, n. 165, nonché degli accordi sindacali e dei provvedimenti di concertazione, adottati ai sensi dell'articolo 2 del decreto legislativo 12 maggio 1995, n. 195, per quanto concerne il trattamento economico fondamentale e accessorio del personale interessato. Per l'attuazione di quanto previsto dal presente comma, le somme iscritte nel conto dei residui sul capitolo n. 3027 «Fondo da ripartire per l'attuazione dei contratti del personale delle amministrazioni statali, ivi compreso il personale militare e quello dei corpi di polizia» dello stato di previsione del Ministero dell'economia e delle finanze possono essere versate all'entrata del bilancio dello Stato.</w:t>
      </w:r>
    </w:p>
    <w:p w14:paraId="375BF0C0" w14:textId="77777777" w:rsidR="00013DD6" w:rsidRPr="00EC14DE" w:rsidRDefault="00013DD6" w:rsidP="007C594F">
      <w:pPr>
        <w:widowControl w:val="0"/>
      </w:pPr>
      <w:r w:rsidRPr="00EC14DE">
        <w:t xml:space="preserve">5. Le risorse finanziarie relative ai fondi destinati all'incentivazione del personale civile dello Stato, delle Forze armate, del Corpo nazionale dei vigili del fuoco e dei Corpi di polizia, nonché quelle per la corresponsione del trattamento economico accessorio del personale dirigenziale, non utilizzate alla chiusura dell'esercizio, sono conservate nel conto dei residui per essere utilizzate nell'esercizio successivo. Il Ministro dell'economia e delle finanze è autorizzato ad apportare, con propri decreti, per l’anno finanziario 2022, le variazioni di bilancio occorrenti per l'utilizzazione dei predetti fondi conservati. </w:t>
      </w:r>
    </w:p>
    <w:p w14:paraId="5D2FBF41" w14:textId="77777777" w:rsidR="00013DD6" w:rsidRPr="00EC14DE" w:rsidRDefault="00013DD6" w:rsidP="007C594F">
      <w:pPr>
        <w:widowControl w:val="0"/>
      </w:pPr>
      <w:r w:rsidRPr="00EC14DE">
        <w:t xml:space="preserve">6. Il Ragioniere generale dello Stato è autorizzato a provvedere, con propri decreti, alla riassegnazione, negli stati di previsione delle amministrazioni statali interessate, per l’anno finanziario 2022, delle somme rimborsate dalla Commissione europea per spese sostenute dalle amministrazioni medesime a carico dei pertinenti programmi dei rispettivi stati di previsione, affluite al fondo di rotazione di cui all'articolo 5 della legge 16 aprile 1987, n. 183, e successivamente versate all'entrata del bilancio dello Stato. </w:t>
      </w:r>
    </w:p>
    <w:p w14:paraId="0BC901B9" w14:textId="77777777" w:rsidR="00013DD6" w:rsidRPr="00EC14DE" w:rsidRDefault="00013DD6" w:rsidP="007C594F">
      <w:pPr>
        <w:widowControl w:val="0"/>
      </w:pPr>
      <w:r w:rsidRPr="00EC14DE">
        <w:t xml:space="preserve">7. Il Ministro dell'economia e delle finanze è autorizzato ad apportare, con propri decreti, per l’anno finanziario 2022, le variazioni di bilancio negli stati di previsione delle amministrazioni interessate, occorrenti per l'attuazione dei decreti del Presidente del Consiglio dei ministri emanati ai sensi dell'articolo 7 della legge 15 marzo 1997, n. 59, e dei decreti legislativi concernenti il conferimento di funzioni e compiti amministrativi dello Stato alle regioni e agli enti locali, in attuazione del capo I della medesima legge n. 59 del 1997. </w:t>
      </w:r>
    </w:p>
    <w:p w14:paraId="3953D945" w14:textId="77777777" w:rsidR="00013DD6" w:rsidRPr="00EC14DE" w:rsidRDefault="00013DD6" w:rsidP="007C594F">
      <w:pPr>
        <w:widowControl w:val="0"/>
      </w:pPr>
      <w:r w:rsidRPr="00EC14DE">
        <w:t xml:space="preserve">8. Il Ministro dell'economia e delle finanze è autorizzato ad apportare, con propri decreti, nei pertinenti programmi degli stati di previsione delle amministrazioni interessate, per l’anno finanziario 2022, le variazioni di bilancio occorrenti per l'applicazione del decreto legislativo 18 febbraio 2000, n. 56, concernente disposizioni in materia di federalismo fiscale. </w:t>
      </w:r>
    </w:p>
    <w:p w14:paraId="60C2F558" w14:textId="77777777" w:rsidR="00013DD6" w:rsidRPr="00EC14DE" w:rsidRDefault="00013DD6" w:rsidP="007C594F">
      <w:pPr>
        <w:widowControl w:val="0"/>
      </w:pPr>
      <w:r w:rsidRPr="00EC14DE">
        <w:t xml:space="preserve">9. Il Ragioniere generale dello Stato è autorizzato a provvedere, con propri decreti, alla riassegnazione negli stati di previsione delle amministrazioni interessate, per l'anno finanziario 2022, delle somme versate all'entrata a titolo di contribuzione alle spese di gestione degli asili nido istituiti presso le amministrazioni statali ai sensi dell'articolo 70, comma 5, della legge 28 dicembre 2001, n. 448, nonché di quelle versate a titolo di contribuzione alle spese di gestione di servizi ed iniziative finalizzati al benessere del personale. </w:t>
      </w:r>
    </w:p>
    <w:p w14:paraId="324B2389" w14:textId="77777777" w:rsidR="00013DD6" w:rsidRPr="00EC14DE" w:rsidRDefault="00013DD6" w:rsidP="007C594F">
      <w:pPr>
        <w:widowControl w:val="0"/>
      </w:pPr>
      <w:r w:rsidRPr="00EC14DE">
        <w:t xml:space="preserve">10. Il Ministro dell'economia e delle finanze è autorizzato ad apportare, con propri decreti, nell’ambito degli stati di previsione di ciascun Ministero, per l’anno finanziario 2022, le variazioni compensative di bilancio tra i capitoli interessati al pagamento delle competenze fisse e accessorie mediante ordini collettivi di pagamento con il sistema denominato «cedolino unico», ai sensi dell’articolo 2, comma 197, della legge 23 dicembre 2009, n. 191.  </w:t>
      </w:r>
    </w:p>
    <w:p w14:paraId="079F0E33" w14:textId="77777777" w:rsidR="00013DD6" w:rsidRPr="00EC14DE" w:rsidRDefault="00013DD6" w:rsidP="007C594F">
      <w:pPr>
        <w:widowControl w:val="0"/>
      </w:pPr>
      <w:r w:rsidRPr="00EC14DE">
        <w:t>11. Il Ministro dell'economia e delle finanze è autorizzato ad apportare, con propri decreti, negli stati di previsione delle amministrazioni interessate, per l’anno finanziario 2022, le variazioni di bilancio compensative occorrenti per l’attuazione dell’articolo 14, comma 2, del decreto-legge 31 maggio 2010, n. 78, convertito, con modificazioni, dalla legge 30 luglio 2010, n. 122.</w:t>
      </w:r>
    </w:p>
    <w:p w14:paraId="7BF05C51" w14:textId="77777777" w:rsidR="00013DD6" w:rsidRPr="00EC14DE" w:rsidRDefault="00013DD6" w:rsidP="007C594F">
      <w:pPr>
        <w:widowControl w:val="0"/>
      </w:pPr>
      <w:r w:rsidRPr="00EC14DE">
        <w:t>12. In attuazione dell’articolo 30, comma 4, della legge 31 dicembre 2009, n. 196, il Ministro dell’economia e delle finanze è autorizzato ad apportare, con propri decreti, per l’anno finanziario 2022, le variazioni compensative, in termini di competenza e di cassa, tra gli stanziamenti dei capitoli degli stati di previsione dei Ministeri, delle spese per interessi passivi e per rimborso di passività finanziarie relative ad operazioni di mutui il cui onere di ammortamento è posto a carico dello Stato.</w:t>
      </w:r>
    </w:p>
    <w:p w14:paraId="4F128C8E" w14:textId="77777777" w:rsidR="00013DD6" w:rsidRPr="00EC14DE" w:rsidRDefault="00013DD6" w:rsidP="007C594F">
      <w:pPr>
        <w:widowControl w:val="0"/>
      </w:pPr>
      <w:r w:rsidRPr="00EC14DE">
        <w:t>13. Il Ministro dell’economia e delle finanze è autorizzato ad apportare, con propri decreti, negli stati di previsione delle amministrazioni interessate, per l’anno finanziario 2022, le variazioni di bilancio compensative occorrenti in relazione alle riduzioni dei trasferimenti agli enti territoriali, disposte ai sensi dell’articolo 16, comma 2, del decreto-legge 6 luglio 2012, n. 95, convertito, con modificazioni, dalla legge 7 agosto 2012, n. 135.</w:t>
      </w:r>
    </w:p>
    <w:p w14:paraId="15A70A9E" w14:textId="77777777" w:rsidR="00013DD6" w:rsidRPr="00EC14DE" w:rsidRDefault="00013DD6" w:rsidP="007C594F">
      <w:pPr>
        <w:widowControl w:val="0"/>
      </w:pPr>
      <w:r w:rsidRPr="00EC14DE">
        <w:t>14. Il Ragioniere generale dello Stato è autorizzato a riassegnare, per l’anno finanziario 2022, con propri decreti, negli stati di previsione delle amministrazioni competenti per materia, che subentrano, ai sensi della normativa vigente, nella gestione delle residue attività liquidatorie degli organismi ed enti vigilati dallo Stato, sottoposti a liquidazione coatta amministrativa in base all’articolo 12, comma 40, del decreto-legge 6 luglio 2012, n. 95, convertito, con modificazioni, dalla legge 7 agosto 2012, n. 135, le somme, residuali al 31 dicembre 2021, versate all’entrata del bilancio dello Stato dai commissari liquidatori cessati dall’incarico.</w:t>
      </w:r>
    </w:p>
    <w:p w14:paraId="444EF982" w14:textId="77777777" w:rsidR="00013DD6" w:rsidRPr="00EC14DE" w:rsidRDefault="00013DD6" w:rsidP="007C594F">
      <w:pPr>
        <w:widowControl w:val="0"/>
      </w:pPr>
      <w:r w:rsidRPr="00EC14DE">
        <w:t>15. Le somme stanziate sul capitolo 2295 dello stato di previsione del Ministero delle politiche agricole, alimentari, e forestali, destinate agli interventi già di competenza della soppressa Agenzia per lo sviluppo del settore ippico, per il finanziamento del monte premi delle corse, in caso di mancata adozione del decreto previsto dall’articolo 1, comma 281, della legge 30 dicembre 2004, n. 311, o, comunque, nelle more dell’emanazione dello stesso, costituiscono determinazione della quota parte delle entrate erariali ed extraerariali derivanti da giochi pubblici con vincita in denaro affidati in concessione allo Stato ai sensi del comma 282 del medesimo articolo 1 della citata legge n. 311 del 2004.</w:t>
      </w:r>
    </w:p>
    <w:p w14:paraId="24C6CD37" w14:textId="77777777" w:rsidR="00013DD6" w:rsidRPr="00EC14DE" w:rsidRDefault="00013DD6" w:rsidP="007C594F">
      <w:pPr>
        <w:widowControl w:val="0"/>
      </w:pPr>
      <w:r w:rsidRPr="00EC14DE">
        <w:t xml:space="preserve">16. Il Ministro dell’economia e delle finanze è autorizzato a provvedere, con propri decreti, alle variazioni compensative per il triennio 2022-2024 tra i programmi degli stati di previsione dei Ministeri interessati ed il capitolo 3465, articolo 2, dello stato di previsione dell’entrata, in relazione al contributo alla finanza pubblica previsto dal comma 6 dell’articolo 46 del decreto-legge 24 aprile 2014, n. 66, convertito, con modificazioni, dalla legge 23 giugno 2014, n. 89, da attribuire con decreto del Presidente del Consiglio dei ministri a carico delle regioni a statuto ordinario. </w:t>
      </w:r>
    </w:p>
    <w:p w14:paraId="79BB7A6A" w14:textId="77777777" w:rsidR="00013DD6" w:rsidRPr="00EC14DE" w:rsidRDefault="00013DD6" w:rsidP="007C594F">
      <w:pPr>
        <w:widowControl w:val="0"/>
      </w:pPr>
      <w:r w:rsidRPr="00EC14DE">
        <w:t>17. Il Ministro dell’economia e delle finanze è autorizzato ad apportare, con propri decreti, negli stati di previsione delle amministrazioni interessate, per l’anno finanziario 2022, le variazioni di bilancio occorrenti per la riduzione degli stanziamenti dei capitoli relativi alle spese correnti per l'acquisto di beni e servizi in applicazione di quanto disposto dall’articolo 2, comma 222-quater, della legge 23 dicembre 2009, n. 191.</w:t>
      </w:r>
    </w:p>
    <w:p w14:paraId="285420A2" w14:textId="77777777" w:rsidR="00013DD6" w:rsidRPr="00EC14DE" w:rsidRDefault="00013DD6" w:rsidP="007C594F">
      <w:pPr>
        <w:widowControl w:val="0"/>
      </w:pPr>
      <w:r w:rsidRPr="00EC14DE">
        <w:t>18. Per corrispondere alle eccezionali indifferibili esigenze di servizio, il Ministro dell’economia e delle finanze è autorizzato a ripartire tra le amministrazioni interessate, per l’anno finanziario 2022, le risorse iscritte sul fondo istituito ai sensi dell’articolo 3 della legge 22 luglio 1978, n. 385, nello stato di previsione del Ministero dell’economia e delle finanze, nell’ambito della missione «Fondi da ripartire», programma «Fondi da assegnare», capitolo 3026, sulla base delle assegnazioni disposte con l’apposito decreto del Presidente del Consiglio dei ministri. Tali assegnazioni tengono conto anche delle risorse finanziarie già iscritte sui pertinenti capitoli degli stati di previsione dei Ministeri interessati al fine di assicurare la tempestiva corresponsione delle somme dovute al personale e ammontanti al 50 per cento delle risorse complessivamente autorizzate per le medesime finalità nell’anno 2021. È autorizzata l'erogazione dei predetti compensi nelle more del perfezionamento del citato decreto del Presidente del Consiglio dei ministri e nei limiti ivi stabiliti per l'anno 2021.</w:t>
      </w:r>
    </w:p>
    <w:p w14:paraId="3E749E86" w14:textId="77777777" w:rsidR="00013DD6" w:rsidRPr="00EC14DE" w:rsidRDefault="00013DD6" w:rsidP="007C594F">
      <w:pPr>
        <w:widowControl w:val="0"/>
      </w:pPr>
      <w:r w:rsidRPr="00EC14DE">
        <w:t>19. Il Ministro dell’economia e delle finanze è autorizzato ad apportare, con propri decreti, su proposta dei Ministri competenti, per l’anno finanziario 2022, le variazioni compensative, anche tra programmi diversi del medesimo stato di previsione, in termini di residui, di competenza e di cassa, che si rendano necessarie nel caso di sentenze definitive anche relative ad esecuzione forzata nei confronti delle amministrazioni dello Stato.</w:t>
      </w:r>
    </w:p>
    <w:p w14:paraId="1AF252F3" w14:textId="77777777" w:rsidR="00013DD6" w:rsidRPr="00EC14DE" w:rsidRDefault="00013DD6" w:rsidP="007C594F">
      <w:pPr>
        <w:widowControl w:val="0"/>
      </w:pPr>
      <w:r w:rsidRPr="00EC14DE">
        <w:t>20. In relazione al pagamento delle competenze accessorie mediante ordini collettivi di pagamento con il sistema denominato «cedolino unico», ai sensi dell’articolo 2, comma 197, della legge 23 dicembre 2009, n. 191, il Ministro dell'economia e delle finanze è autorizzato a ripartire, con propri decreti, su proposta del Ministro dell’interno, fra gli stati di previsione delle amministrazioni interessate, per l’anno finanziario 2022, i</w:t>
      </w:r>
      <w:r w:rsidRPr="00EC14DE">
        <w:rPr>
          <w:rFonts w:eastAsia="Calibri"/>
        </w:rPr>
        <w:t xml:space="preserve"> </w:t>
      </w:r>
      <w:r w:rsidRPr="00EC14DE">
        <w:t>fondi iscritti nello stato di previsione del Ministero dell’interno, nell’ambito della missione</w:t>
      </w:r>
      <w:r w:rsidRPr="00EC14DE">
        <w:rPr>
          <w:i/>
        </w:rPr>
        <w:t xml:space="preserve"> </w:t>
      </w:r>
      <w:r w:rsidRPr="00EC14DE">
        <w:t>«Ordine pubblico e sicurezza», programma «Servizio permanente dell'Arma dei Carabinieri per la tutela dell'ordine e la sicurezza pubblica» e programma «Pianificazione e coordinamento Forze di polizia», concernenti il trattamento accessorio del personale delle Forze di polizia e del personale alle dipendenze della Direzione investigativa antimafia. Nelle more del perfezionamento del decreto del Ministro dell'interno, di cui all'articolo 43, comma 13, della legge 1° aprile 1981, n. 121, al fine di consentire il tempestivo pagamento dei compensi per lavoro straordinario ai corpi di polizia, è autorizzata l’erogazione dei predetti compensi nei limiti stabiliti dal decreto adottato ai sensi del medesimo articolo 43, comma 13, per l'anno 2021.</w:t>
      </w:r>
    </w:p>
    <w:p w14:paraId="5D64E6B4" w14:textId="77777777" w:rsidR="00013DD6" w:rsidRPr="00EC14DE" w:rsidRDefault="00013DD6" w:rsidP="007C594F">
      <w:pPr>
        <w:widowControl w:val="0"/>
      </w:pPr>
      <w:r w:rsidRPr="00EC14DE">
        <w:t xml:space="preserve">21. In relazione al pagamento delle competenze fisse e accessorie mediante ordini collettivi di pagamento con il sistema denominato «cedolino unico», ai sensi dell’articolo 2, comma 197, della legge 23 dicembre 2009, n. 191, il Ragioniere generale dello Stato è autorizzato a riassegnare nello stato di previsione del Ministero della difesa, per l’anno finanziario 2022, le somme versate in entrata concernenti le competenze fisse ed accessorie del personale dell’Arma dei carabinieri in forza extraorganica presso le altre amministrazioni. </w:t>
      </w:r>
    </w:p>
    <w:p w14:paraId="02F36A9A" w14:textId="77777777" w:rsidR="00013DD6" w:rsidRPr="00EC14DE" w:rsidRDefault="00013DD6" w:rsidP="007C594F">
      <w:pPr>
        <w:widowControl w:val="0"/>
      </w:pPr>
      <w:r w:rsidRPr="00EC14DE">
        <w:t>22. Il Ministro dell’economia e delle finanze è autorizzato ad apportare, con propri decreti, su proposta del Ministro dell’interno, per l’anno finanziario 2022, le variazioni compensative, negli stati di previsione delle amministrazioni interessate, tra le spese per la manutenzione dei beni acquistati nell’ambito delle dotazioni tecniche e logistiche per le esigenze delle sezioni di polizia giudiziaria, iscritte nell’ambito della missione «Ordine pubblico e sicurezza», programma «Contrasto al crimine, tutela dell’ordine e della sicurezza pubblica».</w:t>
      </w:r>
    </w:p>
    <w:p w14:paraId="4F4D35F0" w14:textId="77777777" w:rsidR="00013DD6" w:rsidRPr="00EC14DE" w:rsidRDefault="00013DD6" w:rsidP="007C594F">
      <w:pPr>
        <w:widowControl w:val="0"/>
      </w:pPr>
      <w:r w:rsidRPr="00EC14DE">
        <w:t>23. Ai fini dell’attuazione del programma di interventi previsto dall’articolo 5, commi 2 e 8 bis, del decreto legislativo 4 luglio 2014, n. 102, finanziato ai sensi del comma 12 del medesimo articolo, il Ministro dell’economia e delle finanze è autorizzato ad apportare, con propri decreti, su proposta del Ministro della transizione ecologica, per l’anno finanziario 2022, variazioni compensative, in termini di residui, di competenza e di cassa, tra i capitoli dello stato di previsione del Ministero della transizione ecologica relativi all’attuazione del citato programma di interventi e i correlati capitoli degli stati di previsione del Ministero dell’economia e delle finanze, del Ministero della difesa e del Ministero delle infrastrutture e della mobilità sostenibili.</w:t>
      </w:r>
    </w:p>
    <w:p w14:paraId="601B2788" w14:textId="77777777" w:rsidR="00013DD6" w:rsidRPr="00EC14DE" w:rsidRDefault="00013DD6" w:rsidP="007C594F">
      <w:pPr>
        <w:widowControl w:val="0"/>
      </w:pPr>
      <w:r w:rsidRPr="00EC14DE">
        <w:t>24. In relazione alla razionalizzazione delle funzioni di polizia e assorbimento del Corpo forestale dello Stato nell’Arma dei carabinieri di cui al decreto legislativo 19 agosto 2016, n. 177, il Ministro dell’economia e delle finanze è autorizzato ad apportare, con propri decreti, per l’anno finanziario 2022, le opportune variazioni compensative di bilancio tra gli stati di previsione delle amministrazioni interessate.</w:t>
      </w:r>
    </w:p>
    <w:p w14:paraId="0CC87A1B" w14:textId="77777777" w:rsidR="00013DD6" w:rsidRPr="00EC14DE" w:rsidRDefault="00013DD6" w:rsidP="007C594F">
      <w:pPr>
        <w:widowControl w:val="0"/>
      </w:pPr>
      <w:r w:rsidRPr="00EC14DE">
        <w:t>25. Il Ragioniere generale dello Stato è autorizzato a provvedere, con propri decreti, alla riassegnazione negli stati di previsione delle amministrazioni interessate, per l’anno finanziario 2022, delle somme versate all’entrata del bilancio dello Stato dall’Unione europea, dalle pubbliche amministrazioni e da enti pubblici e privati, a titolo di contribuzione alle spese di promozione della conciliazione dei tempi di vita e di lavoro nelle amministrazioni pubbliche di cui all’articolo 14 della legge 7 agosto 2015, n. 124.</w:t>
      </w:r>
    </w:p>
    <w:p w14:paraId="02010E4B" w14:textId="77777777" w:rsidR="00013DD6" w:rsidRPr="00EC14DE" w:rsidRDefault="00013DD6" w:rsidP="007C594F">
      <w:pPr>
        <w:widowControl w:val="0"/>
      </w:pPr>
      <w:r w:rsidRPr="00EC14DE">
        <w:t>26. Il Ministro dell’economia e delle finanze è autorizzato a ripartire, tra gli stati di previsione dei Ministeri interessati, le risorse del capitolo «Fondo da assegnare per la sistemazione contabile delle partite iscritte al conto sospeso», iscritto nello stato di previsione del Ministero dell’economia e delle finanze, per l’anno finanziario 2022. Le risorse del suddetto Fondo non utilizzate nel corso dello stesso esercizio sono conservate in bilancio per essere utilizzate nell’esercizio successivo.</w:t>
      </w:r>
    </w:p>
    <w:p w14:paraId="7D8DF45C" w14:textId="77777777" w:rsidR="00013DD6" w:rsidRPr="00EC14DE" w:rsidRDefault="00013DD6" w:rsidP="007C594F">
      <w:pPr>
        <w:widowControl w:val="0"/>
      </w:pPr>
      <w:r w:rsidRPr="00EC14DE">
        <w:t>27. Il Ministro dell’economia e delle finanze è autorizzato ad apportare, con propri decreti, le occorrenti variazioni compensative di bilancio, anche in termini di residui, relativamente alle sole competenze fisse, tra i capitoli delle amministrazioni interessate al riordino delle Forze armate e delle Forze di polizia previsto dai decreti legislativi 29 maggio 2017, n. 94 e n. 95, e dei relativi decreti correttivi.</w:t>
      </w:r>
    </w:p>
    <w:p w14:paraId="49E47891" w14:textId="77777777" w:rsidR="00013DD6" w:rsidRPr="00EC14DE" w:rsidRDefault="00013DD6" w:rsidP="007C594F">
      <w:pPr>
        <w:widowControl w:val="0"/>
      </w:pPr>
      <w:r w:rsidRPr="00EC14DE">
        <w:t>28. Con decreti del Ragioniere generale dello Stato, per l’anno finanziario 2022, le somme affluite all’entrata del bilancio dello Stato per effetto di donazioni effettuate da soggetti privati in favore di amministrazioni centrali e periferiche dello Stato puntualmente individuate possono essere riassegnate ad appositi capitoli di spesa degli stati di previsione dei Ministeri interessati.</w:t>
      </w:r>
    </w:p>
    <w:p w14:paraId="5CF228EB" w14:textId="77777777" w:rsidR="00013DD6" w:rsidRPr="00EC14DE" w:rsidRDefault="00013DD6" w:rsidP="007C594F">
      <w:pPr>
        <w:widowControl w:val="0"/>
      </w:pPr>
      <w:r w:rsidRPr="00EC14DE">
        <w:t xml:space="preserve">29. Il Ministro dell'economia e delle finanze è autorizzato ad apportare, con propri decreti, per l'anno finanziario 2022, variazioni compensative, in termini di competenza e di cassa, tra le spese per la partecipazione italiana a banche, fondi ed organismi internazionali iscritte nell'ambito della missione «L'Italia in Europa e nel Mondo», programma «Politica economica e finanziaria in ambito internazionale», e le spese connesse con l'intervento diretto di società partecipate dal Ministero dell'economia e delle finanze all'interno del sistema economico, anche attraverso la loro capitalizzazione, iscritte nell'ambito della missione «Politiche economico-finanziarie e di bilancio e tutela della finanza pubblica», programma «Regolamentazione e vigilanza sul settore finanziario». </w:t>
      </w:r>
    </w:p>
    <w:p w14:paraId="51189BD5" w14:textId="77777777" w:rsidR="00013DD6" w:rsidRPr="00EC14DE" w:rsidRDefault="00013DD6" w:rsidP="007C594F">
      <w:pPr>
        <w:widowControl w:val="0"/>
      </w:pPr>
      <w:r w:rsidRPr="00EC14DE">
        <w:t>30. Il Ragioniere generale dello Stato è autorizzato a provvedere, con propri decreti, alla riassegnazione negli stati di previsione delle amministrazioni interessate, per l’anno finanziario 2022, delle somme versate all’entrata del bilancio dello Stato dalle Istituzioni dell'Unione europea per il rimborso delle spese di missione presso gli organismi dell’Unione europea del personale in servizio presso le amministrazioni dello Stato, sostenute dalle amministrazioni medesime a carico dei pertinenti programmi dei rispettivi stati di previsione.</w:t>
      </w:r>
    </w:p>
    <w:p w14:paraId="381F19C3" w14:textId="77777777" w:rsidR="00013DD6" w:rsidRPr="00EC14DE" w:rsidRDefault="00013DD6" w:rsidP="007C594F">
      <w:pPr>
        <w:widowControl w:val="0"/>
      </w:pPr>
      <w:r w:rsidRPr="00EC14DE">
        <w:t>31. Il Ragioniere generale dello Stato è autorizzato a provvedere, con propri decreti, alla riassegnazione ai pertinenti programmi delle Amministrazioni centrali cui compete la gestione dei programmi spaziali nazionali ed in cooperazione internazionale per l’anno finanziario 2022, delle somme, di cui all’articolo 1, comma 253 della legge 27 dicembre 2019, n. 160, versate all’entrata del bilancio dello Stato dalla Presidenza del Consiglio dei Ministri.</w:t>
      </w:r>
    </w:p>
    <w:p w14:paraId="1C2C3073" w14:textId="77777777" w:rsidR="00BF26AF" w:rsidRPr="00EC14DE" w:rsidRDefault="00013DD6" w:rsidP="007C594F">
      <w:pPr>
        <w:widowControl w:val="0"/>
      </w:pPr>
      <w:r w:rsidRPr="00EC14DE">
        <w:t>32. Al fine di dare attuazione, per le amministrazioni centrali dello Stato, alle disposizioni di cui all’articolo 113, del decreto legislativo 18 aprile 2016, n. 50 e successive modificazioni ed integrazioni, il Ragioniere generale dello Stato, su proposta dell’amministrazione, è autorizzato a riassegnare, con propri decreti, per l’anno finanziario 2022, sul pertinente capitolo di spesa iscritto nello stato di previsione della medesima amministrazione, le somme versate all’entrata del bilancio dello Stato riguardanti le risorse accantonate per ogni singolo appalto di lavori, servizi o forniture da parte della struttura ministeriale che opera come stazione appaltante, ferma restando l’adozione del regolamento che ciascuna amministrazione è chiamata ad adottare per la ripartizione degli incentivi per funzioni tecniche ai sensi della predetta disposizione.</w:t>
      </w:r>
    </w:p>
    <w:p w14:paraId="664B60C0" w14:textId="77777777" w:rsidR="00BF26AF" w:rsidRPr="00EC14DE" w:rsidRDefault="00BF26AF" w:rsidP="007C594F">
      <w:pPr>
        <w:pStyle w:val="Titolo3"/>
        <w:keepNext w:val="0"/>
        <w:keepLines w:val="0"/>
        <w:widowControl w:val="0"/>
      </w:pPr>
      <w:r w:rsidRPr="00EC14DE">
        <w:t xml:space="preserve">ART. </w:t>
      </w:r>
      <w:r w:rsidRPr="00EC14DE">
        <w:fldChar w:fldCharType="begin"/>
      </w:r>
      <w:r w:rsidRPr="00EC14DE">
        <w:instrText xml:space="preserve"> AUTONUM  \* Arabic </w:instrText>
      </w:r>
      <w:r w:rsidRPr="00EC14DE">
        <w:fldChar w:fldCharType="end"/>
      </w:r>
      <w:r w:rsidRPr="00EC14DE">
        <w:br/>
        <w:t>(Entrata in vigore)</w:t>
      </w:r>
      <w:bookmarkEnd w:id="128"/>
    </w:p>
    <w:p w14:paraId="74CB8FB2" w14:textId="77777777" w:rsidR="00BF26AF" w:rsidRPr="00EC14DE" w:rsidRDefault="00BF26AF" w:rsidP="007C594F">
      <w:pPr>
        <w:widowControl w:val="0"/>
        <w:rPr>
          <w:lang w:eastAsia="it-IT"/>
        </w:rPr>
      </w:pPr>
      <w:r w:rsidRPr="00EC14DE">
        <w:rPr>
          <w:lang w:eastAsia="it-IT"/>
        </w:rPr>
        <w:t>1. La presente legge, salvo quanto diversamente previsto, entra in vigore il 1° gennaio 202</w:t>
      </w:r>
      <w:r w:rsidR="00547D8F" w:rsidRPr="00EC14DE">
        <w:rPr>
          <w:lang w:eastAsia="it-IT"/>
        </w:rPr>
        <w:t>2</w:t>
      </w:r>
      <w:r w:rsidRPr="00EC14DE">
        <w:rPr>
          <w:lang w:eastAsia="it-IT"/>
        </w:rPr>
        <w:t>.</w:t>
      </w:r>
    </w:p>
    <w:p w14:paraId="405499B9" w14:textId="77777777" w:rsidR="00BF26AF" w:rsidRPr="00EC14DE" w:rsidRDefault="00BF26AF" w:rsidP="007C594F">
      <w:pPr>
        <w:widowControl w:val="0"/>
        <w:rPr>
          <w:lang w:eastAsia="it-IT"/>
        </w:rPr>
      </w:pPr>
      <w:r w:rsidRPr="00EC14DE">
        <w:rPr>
          <w:lang w:eastAsia="it-IT"/>
        </w:rPr>
        <w:t>La presente legge, munita del sigillo dello Stato, sarà inserita nella Raccolta ufficiale degli atti normativi della Repubblica italiana.</w:t>
      </w:r>
    </w:p>
    <w:p w14:paraId="089A2401" w14:textId="77777777" w:rsidR="00BF26AF" w:rsidRPr="00EC14DE" w:rsidRDefault="00BF26AF" w:rsidP="007C594F">
      <w:pPr>
        <w:widowControl w:val="0"/>
        <w:rPr>
          <w:lang w:eastAsia="it-IT"/>
        </w:rPr>
      </w:pPr>
      <w:r w:rsidRPr="00EC14DE">
        <w:rPr>
          <w:lang w:eastAsia="it-IT"/>
        </w:rPr>
        <w:t>È fatto obbligo a chiunque spetti di osservarla e di farla osservare come legge dello Stato.</w:t>
      </w:r>
    </w:p>
    <w:p w14:paraId="1C63ED04" w14:textId="77777777" w:rsidR="00BF26AF" w:rsidRPr="00EC14DE" w:rsidRDefault="00BF26AF" w:rsidP="007C594F">
      <w:pPr>
        <w:widowControl w:val="0"/>
        <w:spacing w:after="160" w:line="259" w:lineRule="auto"/>
        <w:jc w:val="left"/>
        <w:rPr>
          <w:rFonts w:eastAsiaTheme="majorEastAsia" w:cstheme="majorBidi"/>
          <w:b/>
          <w:sz w:val="24"/>
          <w:szCs w:val="32"/>
        </w:rPr>
      </w:pPr>
      <w:r w:rsidRPr="00EC14DE">
        <w:rPr>
          <w:rFonts w:eastAsiaTheme="majorEastAsia" w:cstheme="majorBidi"/>
          <w:b/>
          <w:sz w:val="24"/>
          <w:szCs w:val="32"/>
        </w:rPr>
        <w:br w:type="page"/>
      </w:r>
    </w:p>
    <w:p w14:paraId="40888433" w14:textId="77777777" w:rsidR="00A03163" w:rsidRPr="00EC14DE" w:rsidRDefault="00916A8D" w:rsidP="007C594F">
      <w:pPr>
        <w:pStyle w:val="Titolo1"/>
        <w:keepNext w:val="0"/>
        <w:keepLines w:val="0"/>
        <w:widowControl w:val="0"/>
      </w:pPr>
      <w:r w:rsidRPr="00EC14DE">
        <w:t>ALLEGATI SEZIONE I</w:t>
      </w:r>
    </w:p>
    <w:p w14:paraId="504478E2" w14:textId="77777777" w:rsidR="00A03163" w:rsidRPr="00EC14DE" w:rsidRDefault="00A03163" w:rsidP="00A03163">
      <w:pPr>
        <w:rPr>
          <w:b/>
        </w:rPr>
      </w:pPr>
      <w:r w:rsidRPr="00EC14DE">
        <w:rPr>
          <w:b/>
        </w:rPr>
        <w:t>A</w:t>
      </w:r>
      <w:r w:rsidR="002A1C5C" w:rsidRPr="00EC14DE">
        <w:rPr>
          <w:b/>
        </w:rPr>
        <w:t>llegato</w:t>
      </w:r>
      <w:r w:rsidRPr="00EC14DE">
        <w:rPr>
          <w:b/>
        </w:rPr>
        <w:t xml:space="preserve"> 1 –</w:t>
      </w:r>
      <w:r w:rsidR="002A1C5C" w:rsidRPr="00EC14DE">
        <w:rPr>
          <w:b/>
        </w:rPr>
        <w:t xml:space="preserve"> Articolo 1, recante </w:t>
      </w:r>
      <w:r w:rsidRPr="00EC14DE">
        <w:rPr>
          <w:b/>
        </w:rPr>
        <w:t>“Risultati differenziali di spesa”</w:t>
      </w:r>
    </w:p>
    <w:p w14:paraId="6DDE6691" w14:textId="77777777" w:rsidR="00034C2D" w:rsidRPr="00EC14DE" w:rsidRDefault="00034C2D">
      <w:pPr>
        <w:spacing w:after="160" w:line="259" w:lineRule="auto"/>
        <w:jc w:val="left"/>
        <w:rPr>
          <w:rFonts w:eastAsiaTheme="majorEastAsia" w:cstheme="majorBidi"/>
          <w:b/>
          <w:sz w:val="24"/>
          <w:szCs w:val="32"/>
        </w:rPr>
      </w:pPr>
      <w:r w:rsidRPr="00EC14DE">
        <w:br w:type="page"/>
      </w:r>
    </w:p>
    <w:p w14:paraId="0811BB2C" w14:textId="77777777" w:rsidR="00916A8D" w:rsidRPr="00EC14DE" w:rsidRDefault="00A74016" w:rsidP="007C594F">
      <w:pPr>
        <w:widowControl w:val="0"/>
        <w:rPr>
          <w:rFonts w:cs="Times New Roman"/>
          <w:b/>
        </w:rPr>
      </w:pPr>
      <w:r w:rsidRPr="00EC14DE">
        <w:rPr>
          <w:rFonts w:cs="Times New Roman"/>
          <w:b/>
        </w:rPr>
        <w:t>A</w:t>
      </w:r>
      <w:r w:rsidR="00221089" w:rsidRPr="00EC14DE">
        <w:rPr>
          <w:rFonts w:cs="Times New Roman"/>
          <w:b/>
        </w:rPr>
        <w:t>llegato</w:t>
      </w:r>
      <w:r w:rsidRPr="00EC14DE">
        <w:rPr>
          <w:rFonts w:cs="Times New Roman"/>
          <w:b/>
        </w:rPr>
        <w:t xml:space="preserve"> 2</w:t>
      </w:r>
      <w:r w:rsidR="002A1C5C" w:rsidRPr="00EC14DE">
        <w:rPr>
          <w:rFonts w:cs="Times New Roman"/>
          <w:b/>
        </w:rPr>
        <w:t xml:space="preserve"> - </w:t>
      </w:r>
      <w:r w:rsidR="00221089" w:rsidRPr="00EC14DE">
        <w:rPr>
          <w:rFonts w:cs="Times New Roman"/>
          <w:b/>
        </w:rPr>
        <w:t>A</w:t>
      </w:r>
      <w:r w:rsidR="00BF26AF" w:rsidRPr="00EC14DE">
        <w:rPr>
          <w:rFonts w:cs="Times New Roman"/>
          <w:b/>
        </w:rPr>
        <w:t>rticolo 25</w:t>
      </w:r>
      <w:r w:rsidR="00AC68FD" w:rsidRPr="00EC14DE">
        <w:rPr>
          <w:rFonts w:cs="Times New Roman"/>
          <w:b/>
        </w:rPr>
        <w:t>,</w:t>
      </w:r>
      <w:r w:rsidR="00BF26AF" w:rsidRPr="00EC14DE">
        <w:rPr>
          <w:rFonts w:cs="Times New Roman"/>
          <w:b/>
        </w:rPr>
        <w:t xml:space="preserve"> </w:t>
      </w:r>
      <w:r w:rsidR="002A1C5C" w:rsidRPr="00EC14DE">
        <w:rPr>
          <w:rFonts w:cs="Times New Roman"/>
          <w:b/>
        </w:rPr>
        <w:t>recante “</w:t>
      </w:r>
      <w:r w:rsidR="00916A8D" w:rsidRPr="00EC14DE">
        <w:rPr>
          <w:rFonts w:cs="Times New Roman"/>
          <w:b/>
        </w:rPr>
        <w:t>Modifica d</w:t>
      </w:r>
      <w:r w:rsidR="00BF26AF" w:rsidRPr="00EC14DE">
        <w:rPr>
          <w:rFonts w:cs="Times New Roman"/>
          <w:b/>
        </w:rPr>
        <w:t>ella normativa sull’APE sociale”</w:t>
      </w:r>
    </w:p>
    <w:p w14:paraId="2B462914" w14:textId="77777777" w:rsidR="00916A8D" w:rsidRPr="00EC14DE" w:rsidRDefault="00916A8D" w:rsidP="007C594F">
      <w:pPr>
        <w:widowControl w:val="0"/>
        <w:rPr>
          <w:rFonts w:cs="Times New Roman"/>
          <w:b/>
        </w:rPr>
      </w:pPr>
    </w:p>
    <w:p w14:paraId="3DA2B08B" w14:textId="77777777" w:rsidR="00916A8D" w:rsidRPr="00EC14DE" w:rsidRDefault="00916A8D" w:rsidP="007C594F">
      <w:pPr>
        <w:widowControl w:val="0"/>
        <w:rPr>
          <w:rFonts w:ascii="Calibri" w:hAnsi="Calibri" w:cs="Calibri"/>
        </w:rPr>
      </w:pPr>
      <w:r w:rsidRPr="00EC14DE">
        <w:rPr>
          <w:noProof/>
          <w:lang w:eastAsia="it-IT"/>
        </w:rPr>
        <w:drawing>
          <wp:inline distT="0" distB="0" distL="0" distR="0" wp14:anchorId="47DB51EF" wp14:editId="43E30F6C">
            <wp:extent cx="5759450" cy="731520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6005" cy="7323526"/>
                    </a:xfrm>
                    <a:prstGeom prst="rect">
                      <a:avLst/>
                    </a:prstGeom>
                    <a:noFill/>
                    <a:ln>
                      <a:noFill/>
                    </a:ln>
                  </pic:spPr>
                </pic:pic>
              </a:graphicData>
            </a:graphic>
          </wp:inline>
        </w:drawing>
      </w:r>
      <w:r w:rsidRPr="00EC14DE">
        <w:t> </w:t>
      </w:r>
    </w:p>
    <w:p w14:paraId="255B9AE4" w14:textId="77777777" w:rsidR="00916A8D" w:rsidRPr="00EC14DE" w:rsidRDefault="00916A8D" w:rsidP="007C594F">
      <w:pPr>
        <w:widowControl w:val="0"/>
        <w:rPr>
          <w:rFonts w:cs="Times New Roman"/>
          <w:b/>
        </w:rPr>
      </w:pPr>
    </w:p>
    <w:p w14:paraId="4651E0DD" w14:textId="77777777" w:rsidR="007D1157" w:rsidRPr="00EC14DE" w:rsidRDefault="007D1157">
      <w:pPr>
        <w:spacing w:after="160" w:line="259" w:lineRule="auto"/>
        <w:jc w:val="left"/>
        <w:rPr>
          <w:rFonts w:eastAsiaTheme="majorEastAsia" w:cstheme="majorBidi"/>
          <w:sz w:val="24"/>
          <w:szCs w:val="32"/>
        </w:rPr>
      </w:pPr>
      <w:r w:rsidRPr="00EC14DE">
        <w:rPr>
          <w:rFonts w:eastAsiaTheme="majorEastAsia" w:cstheme="majorBidi"/>
          <w:sz w:val="24"/>
          <w:szCs w:val="32"/>
        </w:rPr>
        <w:br w:type="page"/>
      </w:r>
    </w:p>
    <w:p w14:paraId="4E2C556D" w14:textId="77777777" w:rsidR="007D1157" w:rsidRPr="00EC14DE" w:rsidRDefault="007D1157" w:rsidP="007D1157">
      <w:pPr>
        <w:widowControl w:val="0"/>
        <w:rPr>
          <w:rFonts w:cs="Times New Roman"/>
          <w:b/>
        </w:rPr>
      </w:pPr>
      <w:r w:rsidRPr="00EC14DE">
        <w:rPr>
          <w:rFonts w:cs="Times New Roman"/>
          <w:b/>
        </w:rPr>
        <w:t>A</w:t>
      </w:r>
      <w:r w:rsidR="00221089" w:rsidRPr="00EC14DE">
        <w:rPr>
          <w:rFonts w:cs="Times New Roman"/>
          <w:b/>
        </w:rPr>
        <w:t xml:space="preserve">llegato </w:t>
      </w:r>
      <w:r w:rsidR="00A74016" w:rsidRPr="00EC14DE">
        <w:rPr>
          <w:rFonts w:cs="Times New Roman"/>
          <w:b/>
        </w:rPr>
        <w:t>3</w:t>
      </w:r>
      <w:r w:rsidR="002A1C5C" w:rsidRPr="00EC14DE">
        <w:rPr>
          <w:rFonts w:cs="Times New Roman"/>
          <w:b/>
        </w:rPr>
        <w:t xml:space="preserve"> - </w:t>
      </w:r>
      <w:r w:rsidR="00221089" w:rsidRPr="00EC14DE">
        <w:rPr>
          <w:rFonts w:cs="Times New Roman"/>
          <w:b/>
        </w:rPr>
        <w:t>A</w:t>
      </w:r>
      <w:r w:rsidR="003B509A" w:rsidRPr="00EC14DE">
        <w:rPr>
          <w:rFonts w:cs="Times New Roman"/>
          <w:b/>
        </w:rPr>
        <w:t xml:space="preserve">rticolo </w:t>
      </w:r>
      <w:r w:rsidR="00BF632C" w:rsidRPr="00EC14DE">
        <w:rPr>
          <w:rFonts w:cs="Times New Roman"/>
          <w:b/>
        </w:rPr>
        <w:t>9</w:t>
      </w:r>
      <w:r w:rsidR="00A902DC" w:rsidRPr="00EC14DE">
        <w:rPr>
          <w:rFonts w:cs="Times New Roman"/>
          <w:b/>
        </w:rPr>
        <w:t>4</w:t>
      </w:r>
      <w:r w:rsidR="00AC68FD" w:rsidRPr="00EC14DE">
        <w:rPr>
          <w:rFonts w:cs="Times New Roman"/>
          <w:b/>
        </w:rPr>
        <w:t>,</w:t>
      </w:r>
      <w:r w:rsidR="00837AAE" w:rsidRPr="00EC14DE">
        <w:rPr>
          <w:rFonts w:cs="Times New Roman"/>
          <w:b/>
        </w:rPr>
        <w:t xml:space="preserve"> </w:t>
      </w:r>
      <w:r w:rsidR="002A1C5C" w:rsidRPr="00EC14DE">
        <w:rPr>
          <w:rFonts w:cs="Times New Roman"/>
          <w:b/>
        </w:rPr>
        <w:t xml:space="preserve">recante </w:t>
      </w:r>
      <w:r w:rsidRPr="00EC14DE">
        <w:rPr>
          <w:rFonts w:cs="Times New Roman"/>
          <w:b/>
        </w:rPr>
        <w:t>“</w:t>
      </w:r>
      <w:r w:rsidR="00BA6399" w:rsidRPr="00EC14DE">
        <w:rPr>
          <w:rFonts w:cs="Times New Roman"/>
          <w:b/>
        </w:rPr>
        <w:t>Disposizione in materia di liste di attesa</w:t>
      </w:r>
      <w:r w:rsidR="00884B2F" w:rsidRPr="00EC14DE">
        <w:rPr>
          <w:rFonts w:cs="Times New Roman"/>
          <w:b/>
        </w:rPr>
        <w:t xml:space="preserve"> Covid</w:t>
      </w:r>
      <w:r w:rsidRPr="00EC14DE">
        <w:rPr>
          <w:rFonts w:cs="Times New Roman"/>
          <w:b/>
        </w:rPr>
        <w:t>”</w:t>
      </w:r>
    </w:p>
    <w:p w14:paraId="15D619F5" w14:textId="77777777" w:rsidR="00916A8D" w:rsidRPr="00EC14DE" w:rsidRDefault="00916A8D" w:rsidP="007C594F">
      <w:pPr>
        <w:widowControl w:val="0"/>
        <w:rPr>
          <w:rFonts w:eastAsiaTheme="majorEastAsia" w:cstheme="majorBidi"/>
          <w:sz w:val="24"/>
          <w:szCs w:val="32"/>
        </w:rPr>
      </w:pPr>
    </w:p>
    <w:p w14:paraId="51AE79EF" w14:textId="77777777" w:rsidR="007D1157" w:rsidRPr="00EC14DE" w:rsidRDefault="00CF590E" w:rsidP="007C594F">
      <w:pPr>
        <w:widowControl w:val="0"/>
        <w:rPr>
          <w:rFonts w:eastAsiaTheme="majorEastAsia" w:cstheme="majorBidi"/>
          <w:sz w:val="24"/>
          <w:szCs w:val="32"/>
        </w:rPr>
      </w:pPr>
      <w:r w:rsidRPr="00EC14DE">
        <w:rPr>
          <w:rFonts w:eastAsiaTheme="majorEastAsia" w:cstheme="majorBidi"/>
          <w:noProof/>
          <w:sz w:val="24"/>
          <w:szCs w:val="32"/>
          <w:lang w:eastAsia="it-IT"/>
        </w:rPr>
        <w:drawing>
          <wp:inline distT="0" distB="0" distL="0" distR="0" wp14:anchorId="78D374A7" wp14:editId="632F2360">
            <wp:extent cx="6120130" cy="454279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4542790"/>
                    </a:xfrm>
                    <a:prstGeom prst="rect">
                      <a:avLst/>
                    </a:prstGeom>
                    <a:noFill/>
                    <a:ln>
                      <a:noFill/>
                    </a:ln>
                  </pic:spPr>
                </pic:pic>
              </a:graphicData>
            </a:graphic>
          </wp:inline>
        </w:drawing>
      </w:r>
    </w:p>
    <w:p w14:paraId="2D88ACED" w14:textId="77777777" w:rsidR="009E1163" w:rsidRPr="00EC14DE" w:rsidRDefault="00CF590E">
      <w:pPr>
        <w:spacing w:after="160" w:line="259" w:lineRule="auto"/>
        <w:jc w:val="left"/>
        <w:rPr>
          <w:rFonts w:eastAsiaTheme="majorEastAsia" w:cstheme="majorBidi"/>
          <w:sz w:val="24"/>
          <w:szCs w:val="32"/>
        </w:rPr>
      </w:pPr>
      <w:r w:rsidRPr="00EC14DE">
        <w:rPr>
          <w:rFonts w:eastAsiaTheme="majorEastAsia" w:cstheme="majorBidi"/>
          <w:noProof/>
          <w:sz w:val="24"/>
          <w:szCs w:val="32"/>
          <w:lang w:eastAsia="it-IT"/>
        </w:rPr>
        <w:drawing>
          <wp:inline distT="0" distB="0" distL="0" distR="0" wp14:anchorId="226D0BB1" wp14:editId="4C665BC5">
            <wp:extent cx="6120130" cy="393382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3933825"/>
                    </a:xfrm>
                    <a:prstGeom prst="rect">
                      <a:avLst/>
                    </a:prstGeom>
                    <a:noFill/>
                    <a:ln>
                      <a:noFill/>
                    </a:ln>
                  </pic:spPr>
                </pic:pic>
              </a:graphicData>
            </a:graphic>
          </wp:inline>
        </w:drawing>
      </w:r>
    </w:p>
    <w:p w14:paraId="6F5ED789" w14:textId="77777777" w:rsidR="00B67AF8" w:rsidRPr="00EC14DE" w:rsidRDefault="00440B5A" w:rsidP="003F062B">
      <w:pPr>
        <w:spacing w:after="160" w:line="259" w:lineRule="auto"/>
        <w:jc w:val="left"/>
        <w:rPr>
          <w:rFonts w:cs="Times New Roman"/>
          <w:b/>
        </w:rPr>
      </w:pPr>
      <w:r w:rsidRPr="00EC14DE">
        <w:rPr>
          <w:rFonts w:cs="Times New Roman"/>
          <w:b/>
        </w:rPr>
        <w:br w:type="page"/>
      </w:r>
      <w:r w:rsidR="00B67AF8" w:rsidRPr="00EC14DE">
        <w:rPr>
          <w:rFonts w:cs="Times New Roman"/>
          <w:b/>
        </w:rPr>
        <w:t xml:space="preserve">Allegato 4 </w:t>
      </w:r>
      <w:r w:rsidR="00BF632C" w:rsidRPr="00EC14DE">
        <w:rPr>
          <w:rFonts w:cs="Times New Roman"/>
          <w:b/>
        </w:rPr>
        <w:t>–</w:t>
      </w:r>
      <w:r w:rsidR="00B67AF8" w:rsidRPr="00EC14DE">
        <w:rPr>
          <w:rFonts w:cs="Times New Roman"/>
          <w:b/>
        </w:rPr>
        <w:t xml:space="preserve"> Articolo</w:t>
      </w:r>
      <w:r w:rsidR="00BF632C" w:rsidRPr="00EC14DE">
        <w:rPr>
          <w:rFonts w:cs="Times New Roman"/>
          <w:b/>
        </w:rPr>
        <w:t xml:space="preserve"> </w:t>
      </w:r>
      <w:r w:rsidR="00A902DC" w:rsidRPr="00EC14DE">
        <w:rPr>
          <w:rFonts w:cs="Times New Roman"/>
          <w:b/>
        </w:rPr>
        <w:t>100</w:t>
      </w:r>
      <w:r w:rsidR="00B67AF8" w:rsidRPr="00EC14DE">
        <w:rPr>
          <w:rFonts w:cs="Times New Roman"/>
          <w:b/>
        </w:rPr>
        <w:t xml:space="preserve">, </w:t>
      </w:r>
      <w:r w:rsidR="0080514E" w:rsidRPr="00EC14DE">
        <w:rPr>
          <w:rFonts w:cs="Times New Roman"/>
          <w:b/>
        </w:rPr>
        <w:t xml:space="preserve">comma 1, lettera b), </w:t>
      </w:r>
      <w:r w:rsidR="00B67AF8" w:rsidRPr="00EC14DE">
        <w:rPr>
          <w:rFonts w:cs="Times New Roman"/>
          <w:b/>
        </w:rPr>
        <w:t>recante “</w:t>
      </w:r>
      <w:r w:rsidR="0080514E" w:rsidRPr="00EC14DE">
        <w:rPr>
          <w:rFonts w:cs="Times New Roman"/>
          <w:b/>
        </w:rPr>
        <w:t xml:space="preserve">Proroga delle disposizioni in materia di assistenza psicologica ex art. 33 del </w:t>
      </w:r>
      <w:r w:rsidR="00DC747F">
        <w:rPr>
          <w:rFonts w:cs="Times New Roman"/>
          <w:b/>
        </w:rPr>
        <w:t>decreto-legge</w:t>
      </w:r>
      <w:r w:rsidR="0080514E" w:rsidRPr="00EC14DE">
        <w:rPr>
          <w:rFonts w:cs="Times New Roman"/>
          <w:b/>
        </w:rPr>
        <w:t xml:space="preserve"> </w:t>
      </w:r>
      <w:r w:rsidR="00DC747F">
        <w:rPr>
          <w:rFonts w:cs="Times New Roman"/>
          <w:b/>
        </w:rPr>
        <w:t xml:space="preserve">n. </w:t>
      </w:r>
      <w:r w:rsidR="0080514E" w:rsidRPr="00EC14DE">
        <w:rPr>
          <w:rFonts w:cs="Times New Roman"/>
          <w:b/>
        </w:rPr>
        <w:t>73/2021</w:t>
      </w:r>
      <w:r w:rsidR="00B67AF8" w:rsidRPr="00EC14DE">
        <w:rPr>
          <w:rFonts w:cs="Times New Roman"/>
          <w:b/>
        </w:rPr>
        <w:t>”</w:t>
      </w:r>
    </w:p>
    <w:p w14:paraId="247FA200" w14:textId="77777777" w:rsidR="00B67AF8" w:rsidRPr="00EC14DE" w:rsidRDefault="00B67AF8">
      <w:pPr>
        <w:spacing w:after="160" w:line="259" w:lineRule="auto"/>
        <w:jc w:val="left"/>
        <w:rPr>
          <w:rFonts w:eastAsiaTheme="majorEastAsia" w:cstheme="majorBidi"/>
          <w:sz w:val="24"/>
          <w:szCs w:val="32"/>
        </w:rPr>
      </w:pPr>
    </w:p>
    <w:tbl>
      <w:tblPr>
        <w:tblW w:w="7120" w:type="dxa"/>
        <w:tblInd w:w="284" w:type="dxa"/>
        <w:tblCellMar>
          <w:left w:w="0" w:type="dxa"/>
          <w:right w:w="0" w:type="dxa"/>
        </w:tblCellMar>
        <w:tblLook w:val="04A0" w:firstRow="1" w:lastRow="0" w:firstColumn="1" w:lastColumn="0" w:noHBand="0" w:noVBand="1"/>
      </w:tblPr>
      <w:tblGrid>
        <w:gridCol w:w="3854"/>
        <w:gridCol w:w="1557"/>
        <w:gridCol w:w="1557"/>
        <w:gridCol w:w="146"/>
        <w:gridCol w:w="6"/>
      </w:tblGrid>
      <w:tr w:rsidR="0080514E" w:rsidRPr="00EC14DE" w14:paraId="2B283B98" w14:textId="77777777" w:rsidTr="00C068F8">
        <w:trPr>
          <w:trHeight w:val="300"/>
        </w:trPr>
        <w:tc>
          <w:tcPr>
            <w:tcW w:w="7084" w:type="dxa"/>
            <w:gridSpan w:val="3"/>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F769DF6" w14:textId="77777777" w:rsidR="00C068F8" w:rsidRPr="00EC14DE" w:rsidRDefault="00C068F8">
            <w:pPr>
              <w:rPr>
                <w:rFonts w:cs="Times New Roman"/>
              </w:rPr>
            </w:pPr>
            <w:r w:rsidRPr="00EC14DE">
              <w:rPr>
                <w:rFonts w:cs="Times New Roman"/>
                <w:b/>
                <w:bCs/>
              </w:rPr>
              <w:t xml:space="preserve">Tabella C </w:t>
            </w:r>
            <w:r w:rsidRPr="00EC14DE">
              <w:rPr>
                <w:rFonts w:cs="Times New Roman"/>
              </w:rPr>
              <w:t>- Articolo 33, commi 1 e 2 (Servizi territoriali e ospedalieri di Neuropsichiatria infantile e dell'adolescenza)</w:t>
            </w:r>
          </w:p>
        </w:tc>
        <w:tc>
          <w:tcPr>
            <w:tcW w:w="30" w:type="dxa"/>
            <w:vAlign w:val="center"/>
            <w:hideMark/>
          </w:tcPr>
          <w:p w14:paraId="1496B68B" w14:textId="77777777" w:rsidR="00C068F8" w:rsidRPr="00EC14DE" w:rsidRDefault="00C068F8">
            <w:pPr>
              <w:rPr>
                <w:rFonts w:ascii="Calibri" w:hAnsi="Calibri" w:cs="Calibri"/>
              </w:rPr>
            </w:pPr>
            <w:r w:rsidRPr="00EC14DE">
              <w:t> </w:t>
            </w:r>
          </w:p>
        </w:tc>
        <w:tc>
          <w:tcPr>
            <w:tcW w:w="6" w:type="dxa"/>
            <w:vAlign w:val="center"/>
            <w:hideMark/>
          </w:tcPr>
          <w:p w14:paraId="74E5B39B" w14:textId="77777777" w:rsidR="00C068F8" w:rsidRPr="00EC14DE" w:rsidRDefault="00C068F8"/>
        </w:tc>
      </w:tr>
      <w:tr w:rsidR="0080514E" w:rsidRPr="00EC14DE" w14:paraId="3CCB097F" w14:textId="77777777" w:rsidTr="00C068F8">
        <w:trPr>
          <w:trHeight w:val="465"/>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4182FA7B" w14:textId="77777777" w:rsidR="00C068F8" w:rsidRPr="00EC14DE" w:rsidRDefault="00C068F8">
            <w:pPr>
              <w:rPr>
                <w:rFonts w:cs="Times New Roman"/>
              </w:rPr>
            </w:pPr>
          </w:p>
        </w:tc>
        <w:tc>
          <w:tcPr>
            <w:tcW w:w="36" w:type="dxa"/>
            <w:noWrap/>
            <w:tcMar>
              <w:top w:w="0" w:type="dxa"/>
              <w:left w:w="70" w:type="dxa"/>
              <w:bottom w:w="0" w:type="dxa"/>
              <w:right w:w="70" w:type="dxa"/>
            </w:tcMar>
            <w:vAlign w:val="bottom"/>
            <w:hideMark/>
          </w:tcPr>
          <w:p w14:paraId="58D0065E" w14:textId="77777777" w:rsidR="00C068F8" w:rsidRPr="00EC14DE" w:rsidRDefault="00C068F8">
            <w:pPr>
              <w:rPr>
                <w:rFonts w:eastAsia="Times New Roman" w:cs="Times New Roman"/>
                <w:sz w:val="20"/>
                <w:szCs w:val="20"/>
              </w:rPr>
            </w:pPr>
          </w:p>
        </w:tc>
        <w:tc>
          <w:tcPr>
            <w:tcW w:w="6" w:type="dxa"/>
            <w:vAlign w:val="center"/>
            <w:hideMark/>
          </w:tcPr>
          <w:p w14:paraId="3F911B24" w14:textId="77777777" w:rsidR="00C068F8" w:rsidRPr="00EC14DE" w:rsidRDefault="00C068F8">
            <w:pPr>
              <w:rPr>
                <w:rFonts w:eastAsia="Times New Roman" w:cs="Times New Roman"/>
                <w:sz w:val="20"/>
                <w:szCs w:val="20"/>
              </w:rPr>
            </w:pPr>
          </w:p>
        </w:tc>
      </w:tr>
      <w:tr w:rsidR="0080514E" w:rsidRPr="00EC14DE" w14:paraId="38450B15" w14:textId="77777777" w:rsidTr="00C068F8">
        <w:trPr>
          <w:trHeight w:val="60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3829AC" w14:textId="77777777" w:rsidR="00C068F8" w:rsidRPr="00EC14DE" w:rsidRDefault="00C068F8">
            <w:pPr>
              <w:jc w:val="center"/>
              <w:rPr>
                <w:rFonts w:cs="Times New Roman"/>
                <w:b/>
                <w:bCs/>
              </w:rPr>
            </w:pPr>
            <w:r w:rsidRPr="00EC14DE">
              <w:rPr>
                <w:rFonts w:cs="Times New Roman"/>
                <w:b/>
                <w:bCs/>
              </w:rPr>
              <w:t>REGIONE</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A391D7" w14:textId="77777777" w:rsidR="00C068F8" w:rsidRPr="00EC14DE" w:rsidRDefault="00C068F8">
            <w:pPr>
              <w:jc w:val="center"/>
              <w:rPr>
                <w:rFonts w:cs="Times New Roman"/>
                <w:b/>
                <w:bCs/>
              </w:rPr>
            </w:pPr>
            <w:r w:rsidRPr="00EC14DE">
              <w:rPr>
                <w:rFonts w:cs="Times New Roman"/>
                <w:b/>
                <w:bCs/>
              </w:rPr>
              <w:t>Anno 2021</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1E9D3A" w14:textId="77777777" w:rsidR="00C068F8" w:rsidRPr="00EC14DE" w:rsidRDefault="00C068F8">
            <w:pPr>
              <w:jc w:val="center"/>
              <w:rPr>
                <w:rFonts w:cs="Times New Roman"/>
                <w:b/>
                <w:bCs/>
              </w:rPr>
            </w:pPr>
            <w:r w:rsidRPr="00EC14DE">
              <w:rPr>
                <w:rFonts w:cs="Times New Roman"/>
                <w:b/>
                <w:bCs/>
              </w:rPr>
              <w:t>Anno 2022</w:t>
            </w:r>
          </w:p>
        </w:tc>
        <w:tc>
          <w:tcPr>
            <w:tcW w:w="36" w:type="dxa"/>
            <w:tcMar>
              <w:top w:w="0" w:type="dxa"/>
              <w:left w:w="70" w:type="dxa"/>
              <w:bottom w:w="0" w:type="dxa"/>
              <w:right w:w="70" w:type="dxa"/>
            </w:tcMar>
            <w:vAlign w:val="center"/>
            <w:hideMark/>
          </w:tcPr>
          <w:p w14:paraId="288295C9" w14:textId="77777777" w:rsidR="00C068F8" w:rsidRPr="00EC14DE" w:rsidRDefault="00C068F8">
            <w:pPr>
              <w:rPr>
                <w:rFonts w:cs="Times New Roman"/>
                <w:b/>
                <w:bCs/>
                <w:sz w:val="24"/>
                <w:szCs w:val="24"/>
              </w:rPr>
            </w:pPr>
          </w:p>
        </w:tc>
        <w:tc>
          <w:tcPr>
            <w:tcW w:w="6" w:type="dxa"/>
            <w:vAlign w:val="center"/>
            <w:hideMark/>
          </w:tcPr>
          <w:p w14:paraId="34B90016" w14:textId="77777777" w:rsidR="00C068F8" w:rsidRPr="00EC14DE" w:rsidRDefault="00C068F8">
            <w:pPr>
              <w:rPr>
                <w:rFonts w:eastAsia="Times New Roman" w:cs="Times New Roman"/>
                <w:sz w:val="20"/>
                <w:szCs w:val="20"/>
              </w:rPr>
            </w:pPr>
          </w:p>
        </w:tc>
      </w:tr>
      <w:tr w:rsidR="0080514E" w:rsidRPr="00EC14DE" w14:paraId="1909D2E8"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C6FC38" w14:textId="77777777" w:rsidR="00C068F8" w:rsidRPr="00EC14DE" w:rsidRDefault="00C068F8">
            <w:pPr>
              <w:rPr>
                <w:rFonts w:cs="Times New Roman"/>
              </w:rPr>
            </w:pPr>
            <w:r w:rsidRPr="00EC14DE">
              <w:rPr>
                <w:rFonts w:cs="Times New Roman"/>
              </w:rPr>
              <w:t>PIEMONTE</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C6D726" w14:textId="77777777" w:rsidR="00C068F8" w:rsidRPr="00EC14DE" w:rsidRDefault="00C068F8">
            <w:pPr>
              <w:jc w:val="right"/>
              <w:rPr>
                <w:rFonts w:cs="Times New Roman"/>
              </w:rPr>
            </w:pPr>
            <w:r w:rsidRPr="00EC14DE">
              <w:rPr>
                <w:rFonts w:cs="Times New Roman"/>
              </w:rPr>
              <w:t>589.182</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388860" w14:textId="77777777" w:rsidR="00C068F8" w:rsidRPr="00EC14DE" w:rsidRDefault="00C068F8">
            <w:pPr>
              <w:jc w:val="right"/>
              <w:rPr>
                <w:rFonts w:cs="Times New Roman"/>
              </w:rPr>
            </w:pPr>
            <w:r w:rsidRPr="00EC14DE">
              <w:rPr>
                <w:rFonts w:cs="Times New Roman"/>
              </w:rPr>
              <w:t>589.600</w:t>
            </w:r>
          </w:p>
        </w:tc>
        <w:tc>
          <w:tcPr>
            <w:tcW w:w="36" w:type="dxa"/>
            <w:tcMar>
              <w:top w:w="0" w:type="dxa"/>
              <w:left w:w="70" w:type="dxa"/>
              <w:bottom w:w="0" w:type="dxa"/>
              <w:right w:w="70" w:type="dxa"/>
            </w:tcMar>
            <w:vAlign w:val="center"/>
            <w:hideMark/>
          </w:tcPr>
          <w:p w14:paraId="41D48DDC" w14:textId="77777777" w:rsidR="00C068F8" w:rsidRPr="00EC14DE" w:rsidRDefault="00C068F8">
            <w:pPr>
              <w:rPr>
                <w:rFonts w:cs="Times New Roman"/>
                <w:sz w:val="24"/>
                <w:szCs w:val="24"/>
              </w:rPr>
            </w:pPr>
          </w:p>
        </w:tc>
        <w:tc>
          <w:tcPr>
            <w:tcW w:w="6" w:type="dxa"/>
            <w:vAlign w:val="center"/>
            <w:hideMark/>
          </w:tcPr>
          <w:p w14:paraId="1253199A" w14:textId="77777777" w:rsidR="00C068F8" w:rsidRPr="00EC14DE" w:rsidRDefault="00C068F8">
            <w:pPr>
              <w:rPr>
                <w:rFonts w:eastAsia="Times New Roman" w:cs="Times New Roman"/>
                <w:sz w:val="20"/>
                <w:szCs w:val="20"/>
              </w:rPr>
            </w:pPr>
          </w:p>
        </w:tc>
      </w:tr>
      <w:tr w:rsidR="0080514E" w:rsidRPr="00EC14DE" w14:paraId="25B1FB2E"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ECDD55" w14:textId="77777777" w:rsidR="00C068F8" w:rsidRPr="00EC14DE" w:rsidRDefault="00C068F8">
            <w:pPr>
              <w:rPr>
                <w:rFonts w:cs="Times New Roman"/>
              </w:rPr>
            </w:pPr>
            <w:r w:rsidRPr="00EC14DE">
              <w:rPr>
                <w:rFonts w:cs="Times New Roman"/>
              </w:rPr>
              <w:t>V D'AOSTA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F3D18F" w14:textId="77777777" w:rsidR="00C068F8" w:rsidRPr="00EC14DE" w:rsidRDefault="00C068F8">
            <w:pPr>
              <w:jc w:val="right"/>
              <w:rPr>
                <w:rFonts w:cs="Times New Roman"/>
              </w:rPr>
            </w:pPr>
            <w:r w:rsidRPr="00EC14DE">
              <w:rPr>
                <w:rFonts w:cs="Times New Roman"/>
              </w:rPr>
              <w:t>16.804</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BB1FF6" w14:textId="77777777" w:rsidR="00C068F8" w:rsidRPr="00EC14DE" w:rsidRDefault="00C068F8">
            <w:pPr>
              <w:jc w:val="right"/>
              <w:rPr>
                <w:rFonts w:cs="Times New Roman"/>
              </w:rPr>
            </w:pPr>
            <w:r w:rsidRPr="00EC14DE">
              <w:rPr>
                <w:rFonts w:cs="Times New Roman"/>
              </w:rPr>
              <w:t>16.800</w:t>
            </w:r>
          </w:p>
        </w:tc>
        <w:tc>
          <w:tcPr>
            <w:tcW w:w="36" w:type="dxa"/>
            <w:tcMar>
              <w:top w:w="0" w:type="dxa"/>
              <w:left w:w="70" w:type="dxa"/>
              <w:bottom w:w="0" w:type="dxa"/>
              <w:right w:w="70" w:type="dxa"/>
            </w:tcMar>
            <w:vAlign w:val="center"/>
            <w:hideMark/>
          </w:tcPr>
          <w:p w14:paraId="22C5DF02" w14:textId="77777777" w:rsidR="00C068F8" w:rsidRPr="00EC14DE" w:rsidRDefault="00C068F8">
            <w:pPr>
              <w:rPr>
                <w:rFonts w:cs="Times New Roman"/>
                <w:sz w:val="24"/>
                <w:szCs w:val="24"/>
              </w:rPr>
            </w:pPr>
          </w:p>
        </w:tc>
        <w:tc>
          <w:tcPr>
            <w:tcW w:w="6" w:type="dxa"/>
            <w:vAlign w:val="center"/>
            <w:hideMark/>
          </w:tcPr>
          <w:p w14:paraId="1C0923E0" w14:textId="77777777" w:rsidR="00C068F8" w:rsidRPr="00EC14DE" w:rsidRDefault="00C068F8">
            <w:pPr>
              <w:rPr>
                <w:rFonts w:eastAsia="Times New Roman" w:cs="Times New Roman"/>
                <w:sz w:val="20"/>
                <w:szCs w:val="20"/>
              </w:rPr>
            </w:pPr>
          </w:p>
        </w:tc>
      </w:tr>
      <w:tr w:rsidR="0080514E" w:rsidRPr="00EC14DE" w14:paraId="335CFF25"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FDCD08" w14:textId="77777777" w:rsidR="00C068F8" w:rsidRPr="00EC14DE" w:rsidRDefault="00C068F8">
            <w:pPr>
              <w:rPr>
                <w:rFonts w:cs="Times New Roman"/>
              </w:rPr>
            </w:pPr>
            <w:r w:rsidRPr="00EC14DE">
              <w:rPr>
                <w:rFonts w:cs="Times New Roman"/>
              </w:rPr>
              <w:t>LOMBARDIA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AF8406" w14:textId="77777777" w:rsidR="00C068F8" w:rsidRPr="00EC14DE" w:rsidRDefault="00C068F8">
            <w:pPr>
              <w:jc w:val="right"/>
              <w:rPr>
                <w:rFonts w:cs="Times New Roman"/>
              </w:rPr>
            </w:pPr>
            <w:r w:rsidRPr="00EC14DE">
              <w:rPr>
                <w:rFonts w:cs="Times New Roman"/>
              </w:rPr>
              <w:t>1.331.538</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68A508" w14:textId="77777777" w:rsidR="00C068F8" w:rsidRPr="00EC14DE" w:rsidRDefault="00C068F8">
            <w:pPr>
              <w:jc w:val="right"/>
              <w:rPr>
                <w:rFonts w:cs="Times New Roman"/>
              </w:rPr>
            </w:pPr>
            <w:r w:rsidRPr="00EC14DE">
              <w:rPr>
                <w:rFonts w:cs="Times New Roman"/>
              </w:rPr>
              <w:t>1.342.400</w:t>
            </w:r>
          </w:p>
        </w:tc>
        <w:tc>
          <w:tcPr>
            <w:tcW w:w="36" w:type="dxa"/>
            <w:tcMar>
              <w:top w:w="0" w:type="dxa"/>
              <w:left w:w="70" w:type="dxa"/>
              <w:bottom w:w="0" w:type="dxa"/>
              <w:right w:w="70" w:type="dxa"/>
            </w:tcMar>
            <w:vAlign w:val="center"/>
            <w:hideMark/>
          </w:tcPr>
          <w:p w14:paraId="1F900F5B" w14:textId="77777777" w:rsidR="00C068F8" w:rsidRPr="00EC14DE" w:rsidRDefault="00C068F8">
            <w:pPr>
              <w:rPr>
                <w:rFonts w:cs="Times New Roman"/>
                <w:sz w:val="24"/>
                <w:szCs w:val="24"/>
              </w:rPr>
            </w:pPr>
          </w:p>
        </w:tc>
        <w:tc>
          <w:tcPr>
            <w:tcW w:w="6" w:type="dxa"/>
            <w:vAlign w:val="center"/>
            <w:hideMark/>
          </w:tcPr>
          <w:p w14:paraId="74A9DBAA" w14:textId="77777777" w:rsidR="00C068F8" w:rsidRPr="00EC14DE" w:rsidRDefault="00C068F8">
            <w:pPr>
              <w:rPr>
                <w:rFonts w:eastAsia="Times New Roman" w:cs="Times New Roman"/>
                <w:sz w:val="20"/>
                <w:szCs w:val="20"/>
              </w:rPr>
            </w:pPr>
          </w:p>
        </w:tc>
      </w:tr>
      <w:tr w:rsidR="0080514E" w:rsidRPr="00EC14DE" w14:paraId="7B607408"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B507FC" w14:textId="77777777" w:rsidR="00C068F8" w:rsidRPr="00EC14DE" w:rsidRDefault="00C068F8">
            <w:pPr>
              <w:rPr>
                <w:rFonts w:cs="Times New Roman"/>
              </w:rPr>
            </w:pPr>
            <w:r w:rsidRPr="00EC14DE">
              <w:rPr>
                <w:rFonts w:cs="Times New Roman"/>
              </w:rPr>
              <w:t>BOLZANO</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000458" w14:textId="77777777" w:rsidR="00C068F8" w:rsidRPr="00EC14DE" w:rsidRDefault="00C068F8">
            <w:pPr>
              <w:jc w:val="right"/>
              <w:rPr>
                <w:rFonts w:cs="Times New Roman"/>
              </w:rPr>
            </w:pPr>
            <w:r w:rsidRPr="00EC14DE">
              <w:rPr>
                <w:rFonts w:cs="Times New Roman"/>
              </w:rPr>
              <w:t>68.656</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B38DD8" w14:textId="77777777" w:rsidR="00C068F8" w:rsidRPr="00EC14DE" w:rsidRDefault="00C068F8">
            <w:pPr>
              <w:jc w:val="right"/>
              <w:rPr>
                <w:rFonts w:cs="Times New Roman"/>
              </w:rPr>
            </w:pPr>
            <w:r w:rsidRPr="00EC14DE">
              <w:rPr>
                <w:rFonts w:cs="Times New Roman"/>
              </w:rPr>
              <w:t>69.600</w:t>
            </w:r>
          </w:p>
        </w:tc>
        <w:tc>
          <w:tcPr>
            <w:tcW w:w="36" w:type="dxa"/>
            <w:tcMar>
              <w:top w:w="0" w:type="dxa"/>
              <w:left w:w="70" w:type="dxa"/>
              <w:bottom w:w="0" w:type="dxa"/>
              <w:right w:w="70" w:type="dxa"/>
            </w:tcMar>
            <w:vAlign w:val="center"/>
            <w:hideMark/>
          </w:tcPr>
          <w:p w14:paraId="43556432" w14:textId="77777777" w:rsidR="00C068F8" w:rsidRPr="00EC14DE" w:rsidRDefault="00C068F8">
            <w:pPr>
              <w:rPr>
                <w:rFonts w:cs="Times New Roman"/>
                <w:sz w:val="24"/>
                <w:szCs w:val="24"/>
              </w:rPr>
            </w:pPr>
          </w:p>
        </w:tc>
        <w:tc>
          <w:tcPr>
            <w:tcW w:w="6" w:type="dxa"/>
            <w:vAlign w:val="center"/>
            <w:hideMark/>
          </w:tcPr>
          <w:p w14:paraId="3DF1AC01" w14:textId="77777777" w:rsidR="00C068F8" w:rsidRPr="00EC14DE" w:rsidRDefault="00C068F8">
            <w:pPr>
              <w:rPr>
                <w:rFonts w:eastAsia="Times New Roman" w:cs="Times New Roman"/>
                <w:sz w:val="20"/>
                <w:szCs w:val="20"/>
              </w:rPr>
            </w:pPr>
          </w:p>
        </w:tc>
      </w:tr>
      <w:tr w:rsidR="0080514E" w:rsidRPr="00EC14DE" w14:paraId="32F86FDC"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5056A9" w14:textId="77777777" w:rsidR="00C068F8" w:rsidRPr="00EC14DE" w:rsidRDefault="00C068F8">
            <w:pPr>
              <w:rPr>
                <w:rFonts w:cs="Times New Roman"/>
              </w:rPr>
            </w:pPr>
            <w:r w:rsidRPr="00EC14DE">
              <w:rPr>
                <w:rFonts w:cs="Times New Roman"/>
              </w:rPr>
              <w:t>TRENTO</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195FB2" w14:textId="77777777" w:rsidR="00C068F8" w:rsidRPr="00EC14DE" w:rsidRDefault="00C068F8">
            <w:pPr>
              <w:jc w:val="right"/>
              <w:rPr>
                <w:rFonts w:cs="Times New Roman"/>
              </w:rPr>
            </w:pPr>
            <w:r w:rsidRPr="00EC14DE">
              <w:rPr>
                <w:rFonts w:cs="Times New Roman"/>
              </w:rPr>
              <w:t>71.219</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790264" w14:textId="77777777" w:rsidR="00C068F8" w:rsidRPr="00EC14DE" w:rsidRDefault="00C068F8">
            <w:pPr>
              <w:jc w:val="right"/>
              <w:rPr>
                <w:rFonts w:cs="Times New Roman"/>
              </w:rPr>
            </w:pPr>
            <w:r w:rsidRPr="00EC14DE">
              <w:rPr>
                <w:rFonts w:cs="Times New Roman"/>
              </w:rPr>
              <w:t>72.800</w:t>
            </w:r>
          </w:p>
        </w:tc>
        <w:tc>
          <w:tcPr>
            <w:tcW w:w="36" w:type="dxa"/>
            <w:tcMar>
              <w:top w:w="0" w:type="dxa"/>
              <w:left w:w="70" w:type="dxa"/>
              <w:bottom w:w="0" w:type="dxa"/>
              <w:right w:w="70" w:type="dxa"/>
            </w:tcMar>
            <w:vAlign w:val="center"/>
            <w:hideMark/>
          </w:tcPr>
          <w:p w14:paraId="485D57D2" w14:textId="77777777" w:rsidR="00C068F8" w:rsidRPr="00EC14DE" w:rsidRDefault="00C068F8">
            <w:pPr>
              <w:rPr>
                <w:rFonts w:cs="Times New Roman"/>
                <w:sz w:val="24"/>
                <w:szCs w:val="24"/>
              </w:rPr>
            </w:pPr>
          </w:p>
        </w:tc>
        <w:tc>
          <w:tcPr>
            <w:tcW w:w="6" w:type="dxa"/>
            <w:vAlign w:val="center"/>
            <w:hideMark/>
          </w:tcPr>
          <w:p w14:paraId="3FFEF48C" w14:textId="77777777" w:rsidR="00C068F8" w:rsidRPr="00EC14DE" w:rsidRDefault="00C068F8">
            <w:pPr>
              <w:rPr>
                <w:rFonts w:eastAsia="Times New Roman" w:cs="Times New Roman"/>
                <w:sz w:val="20"/>
                <w:szCs w:val="20"/>
              </w:rPr>
            </w:pPr>
          </w:p>
        </w:tc>
      </w:tr>
      <w:tr w:rsidR="0080514E" w:rsidRPr="00EC14DE" w14:paraId="28E2FFB4"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E80BF5" w14:textId="77777777" w:rsidR="00C068F8" w:rsidRPr="00EC14DE" w:rsidRDefault="00C068F8">
            <w:pPr>
              <w:rPr>
                <w:rFonts w:cs="Times New Roman"/>
              </w:rPr>
            </w:pPr>
            <w:r w:rsidRPr="00EC14DE">
              <w:rPr>
                <w:rFonts w:cs="Times New Roman"/>
              </w:rPr>
              <w:t>VENETO</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1FA953" w14:textId="77777777" w:rsidR="00C068F8" w:rsidRPr="00EC14DE" w:rsidRDefault="00C068F8">
            <w:pPr>
              <w:jc w:val="right"/>
              <w:rPr>
                <w:rFonts w:cs="Times New Roman"/>
              </w:rPr>
            </w:pPr>
            <w:r w:rsidRPr="00EC14DE">
              <w:rPr>
                <w:rFonts w:cs="Times New Roman"/>
              </w:rPr>
              <w:t>651.345</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AF773F" w14:textId="77777777" w:rsidR="00C068F8" w:rsidRPr="00EC14DE" w:rsidRDefault="00C068F8">
            <w:pPr>
              <w:jc w:val="right"/>
              <w:rPr>
                <w:rFonts w:cs="Times New Roman"/>
              </w:rPr>
            </w:pPr>
            <w:r w:rsidRPr="00EC14DE">
              <w:rPr>
                <w:rFonts w:cs="Times New Roman"/>
              </w:rPr>
              <w:t>656.000</w:t>
            </w:r>
          </w:p>
        </w:tc>
        <w:tc>
          <w:tcPr>
            <w:tcW w:w="36" w:type="dxa"/>
            <w:tcMar>
              <w:top w:w="0" w:type="dxa"/>
              <w:left w:w="70" w:type="dxa"/>
              <w:bottom w:w="0" w:type="dxa"/>
              <w:right w:w="70" w:type="dxa"/>
            </w:tcMar>
            <w:vAlign w:val="center"/>
            <w:hideMark/>
          </w:tcPr>
          <w:p w14:paraId="5F7E782A" w14:textId="77777777" w:rsidR="00C068F8" w:rsidRPr="00EC14DE" w:rsidRDefault="00C068F8">
            <w:pPr>
              <w:rPr>
                <w:rFonts w:cs="Times New Roman"/>
                <w:sz w:val="24"/>
                <w:szCs w:val="24"/>
              </w:rPr>
            </w:pPr>
          </w:p>
        </w:tc>
        <w:tc>
          <w:tcPr>
            <w:tcW w:w="6" w:type="dxa"/>
            <w:vAlign w:val="center"/>
            <w:hideMark/>
          </w:tcPr>
          <w:p w14:paraId="11D4B9A7" w14:textId="77777777" w:rsidR="00C068F8" w:rsidRPr="00EC14DE" w:rsidRDefault="00C068F8">
            <w:pPr>
              <w:rPr>
                <w:rFonts w:eastAsia="Times New Roman" w:cs="Times New Roman"/>
                <w:sz w:val="20"/>
                <w:szCs w:val="20"/>
              </w:rPr>
            </w:pPr>
          </w:p>
        </w:tc>
      </w:tr>
      <w:tr w:rsidR="0080514E" w:rsidRPr="00EC14DE" w14:paraId="076D5513"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787389" w14:textId="77777777" w:rsidR="00C068F8" w:rsidRPr="00EC14DE" w:rsidRDefault="00C068F8">
            <w:pPr>
              <w:rPr>
                <w:rFonts w:cs="Times New Roman"/>
              </w:rPr>
            </w:pPr>
            <w:r w:rsidRPr="00EC14DE">
              <w:rPr>
                <w:rFonts w:cs="Times New Roman"/>
              </w:rPr>
              <w:t>FRIULI</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F50BC3" w14:textId="77777777" w:rsidR="00C068F8" w:rsidRPr="00EC14DE" w:rsidRDefault="00C068F8">
            <w:pPr>
              <w:jc w:val="right"/>
              <w:rPr>
                <w:rFonts w:cs="Times New Roman"/>
              </w:rPr>
            </w:pPr>
            <w:r w:rsidRPr="00EC14DE">
              <w:rPr>
                <w:rFonts w:cs="Times New Roman"/>
              </w:rPr>
              <w:t>165.155</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D10C23" w14:textId="77777777" w:rsidR="00C068F8" w:rsidRPr="00EC14DE" w:rsidRDefault="00C068F8">
            <w:pPr>
              <w:jc w:val="right"/>
              <w:rPr>
                <w:rFonts w:cs="Times New Roman"/>
              </w:rPr>
            </w:pPr>
            <w:r w:rsidRPr="00EC14DE">
              <w:rPr>
                <w:rFonts w:cs="Times New Roman"/>
              </w:rPr>
              <w:t>165.600</w:t>
            </w:r>
          </w:p>
        </w:tc>
        <w:tc>
          <w:tcPr>
            <w:tcW w:w="36" w:type="dxa"/>
            <w:tcMar>
              <w:top w:w="0" w:type="dxa"/>
              <w:left w:w="70" w:type="dxa"/>
              <w:bottom w:w="0" w:type="dxa"/>
              <w:right w:w="70" w:type="dxa"/>
            </w:tcMar>
            <w:vAlign w:val="center"/>
            <w:hideMark/>
          </w:tcPr>
          <w:p w14:paraId="77CB5B73" w14:textId="77777777" w:rsidR="00C068F8" w:rsidRPr="00EC14DE" w:rsidRDefault="00C068F8">
            <w:pPr>
              <w:rPr>
                <w:rFonts w:cs="Times New Roman"/>
                <w:sz w:val="24"/>
                <w:szCs w:val="24"/>
              </w:rPr>
            </w:pPr>
          </w:p>
        </w:tc>
        <w:tc>
          <w:tcPr>
            <w:tcW w:w="6" w:type="dxa"/>
            <w:vAlign w:val="center"/>
            <w:hideMark/>
          </w:tcPr>
          <w:p w14:paraId="4F804895" w14:textId="77777777" w:rsidR="00C068F8" w:rsidRPr="00EC14DE" w:rsidRDefault="00C068F8">
            <w:pPr>
              <w:rPr>
                <w:rFonts w:eastAsia="Times New Roman" w:cs="Times New Roman"/>
                <w:sz w:val="20"/>
                <w:szCs w:val="20"/>
              </w:rPr>
            </w:pPr>
          </w:p>
        </w:tc>
      </w:tr>
      <w:tr w:rsidR="0080514E" w:rsidRPr="00EC14DE" w14:paraId="4038EB9C"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655E52" w14:textId="77777777" w:rsidR="00C068F8" w:rsidRPr="00EC14DE" w:rsidRDefault="00C068F8">
            <w:pPr>
              <w:rPr>
                <w:rFonts w:cs="Times New Roman"/>
              </w:rPr>
            </w:pPr>
            <w:r w:rsidRPr="00EC14DE">
              <w:rPr>
                <w:rFonts w:cs="Times New Roman"/>
              </w:rPr>
              <w:t>LIGURIA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E02DE8" w14:textId="77777777" w:rsidR="00C068F8" w:rsidRPr="00EC14DE" w:rsidRDefault="00C068F8">
            <w:pPr>
              <w:jc w:val="right"/>
              <w:rPr>
                <w:rFonts w:cs="Times New Roman"/>
              </w:rPr>
            </w:pPr>
            <w:r w:rsidRPr="00EC14DE">
              <w:rPr>
                <w:rFonts w:cs="Times New Roman"/>
              </w:rPr>
              <w:t>214.462</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4DE703" w14:textId="77777777" w:rsidR="00C068F8" w:rsidRPr="00EC14DE" w:rsidRDefault="00C068F8">
            <w:pPr>
              <w:jc w:val="right"/>
              <w:rPr>
                <w:rFonts w:cs="Times New Roman"/>
              </w:rPr>
            </w:pPr>
            <w:r w:rsidRPr="00EC14DE">
              <w:rPr>
                <w:rFonts w:cs="Times New Roman"/>
              </w:rPr>
              <w:t>213.600</w:t>
            </w:r>
          </w:p>
        </w:tc>
        <w:tc>
          <w:tcPr>
            <w:tcW w:w="36" w:type="dxa"/>
            <w:tcMar>
              <w:top w:w="0" w:type="dxa"/>
              <w:left w:w="70" w:type="dxa"/>
              <w:bottom w:w="0" w:type="dxa"/>
              <w:right w:w="70" w:type="dxa"/>
            </w:tcMar>
            <w:vAlign w:val="center"/>
            <w:hideMark/>
          </w:tcPr>
          <w:p w14:paraId="59A42DBD" w14:textId="77777777" w:rsidR="00C068F8" w:rsidRPr="00EC14DE" w:rsidRDefault="00C068F8">
            <w:pPr>
              <w:rPr>
                <w:rFonts w:cs="Times New Roman"/>
                <w:sz w:val="24"/>
                <w:szCs w:val="24"/>
              </w:rPr>
            </w:pPr>
          </w:p>
        </w:tc>
        <w:tc>
          <w:tcPr>
            <w:tcW w:w="6" w:type="dxa"/>
            <w:vAlign w:val="center"/>
            <w:hideMark/>
          </w:tcPr>
          <w:p w14:paraId="0A7B88BA" w14:textId="77777777" w:rsidR="00C068F8" w:rsidRPr="00EC14DE" w:rsidRDefault="00C068F8">
            <w:pPr>
              <w:rPr>
                <w:rFonts w:eastAsia="Times New Roman" w:cs="Times New Roman"/>
                <w:sz w:val="20"/>
                <w:szCs w:val="20"/>
              </w:rPr>
            </w:pPr>
          </w:p>
        </w:tc>
      </w:tr>
      <w:tr w:rsidR="0080514E" w:rsidRPr="00EC14DE" w14:paraId="2FE98C79"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B3A7AC" w14:textId="77777777" w:rsidR="00C068F8" w:rsidRPr="00EC14DE" w:rsidRDefault="00C068F8">
            <w:pPr>
              <w:rPr>
                <w:rFonts w:cs="Times New Roman"/>
              </w:rPr>
            </w:pPr>
            <w:r w:rsidRPr="00EC14DE">
              <w:rPr>
                <w:rFonts w:cs="Times New Roman"/>
              </w:rPr>
              <w:t>E ROMAGNA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344FD2" w14:textId="77777777" w:rsidR="00C068F8" w:rsidRPr="00EC14DE" w:rsidRDefault="00C068F8">
            <w:pPr>
              <w:jc w:val="right"/>
              <w:rPr>
                <w:rFonts w:cs="Times New Roman"/>
              </w:rPr>
            </w:pPr>
            <w:r w:rsidRPr="00EC14DE">
              <w:rPr>
                <w:rFonts w:cs="Times New Roman"/>
              </w:rPr>
              <w:t>596.634</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E6F910" w14:textId="77777777" w:rsidR="00C068F8" w:rsidRPr="00EC14DE" w:rsidRDefault="00C068F8">
            <w:pPr>
              <w:jc w:val="right"/>
              <w:rPr>
                <w:rFonts w:cs="Times New Roman"/>
              </w:rPr>
            </w:pPr>
            <w:r w:rsidRPr="00EC14DE">
              <w:rPr>
                <w:rFonts w:cs="Times New Roman"/>
              </w:rPr>
              <w:t>604.000</w:t>
            </w:r>
          </w:p>
        </w:tc>
        <w:tc>
          <w:tcPr>
            <w:tcW w:w="36" w:type="dxa"/>
            <w:tcMar>
              <w:top w:w="0" w:type="dxa"/>
              <w:left w:w="70" w:type="dxa"/>
              <w:bottom w:w="0" w:type="dxa"/>
              <w:right w:w="70" w:type="dxa"/>
            </w:tcMar>
            <w:vAlign w:val="center"/>
            <w:hideMark/>
          </w:tcPr>
          <w:p w14:paraId="2DEDC97C" w14:textId="77777777" w:rsidR="00C068F8" w:rsidRPr="00EC14DE" w:rsidRDefault="00C068F8">
            <w:pPr>
              <w:rPr>
                <w:rFonts w:cs="Times New Roman"/>
                <w:sz w:val="24"/>
                <w:szCs w:val="24"/>
              </w:rPr>
            </w:pPr>
          </w:p>
        </w:tc>
        <w:tc>
          <w:tcPr>
            <w:tcW w:w="6" w:type="dxa"/>
            <w:vAlign w:val="center"/>
            <w:hideMark/>
          </w:tcPr>
          <w:p w14:paraId="16575877" w14:textId="77777777" w:rsidR="00C068F8" w:rsidRPr="00EC14DE" w:rsidRDefault="00C068F8">
            <w:pPr>
              <w:rPr>
                <w:rFonts w:eastAsia="Times New Roman" w:cs="Times New Roman"/>
                <w:sz w:val="20"/>
                <w:szCs w:val="20"/>
              </w:rPr>
            </w:pPr>
          </w:p>
        </w:tc>
      </w:tr>
      <w:tr w:rsidR="0080514E" w:rsidRPr="00EC14DE" w14:paraId="27F6822C"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BEBD1F" w14:textId="77777777" w:rsidR="00C068F8" w:rsidRPr="00EC14DE" w:rsidRDefault="00C068F8">
            <w:pPr>
              <w:rPr>
                <w:rFonts w:cs="Times New Roman"/>
              </w:rPr>
            </w:pPr>
            <w:r w:rsidRPr="00EC14DE">
              <w:rPr>
                <w:rFonts w:cs="Times New Roman"/>
              </w:rPr>
              <w:t>TOSCANA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6A2CD3" w14:textId="77777777" w:rsidR="00C068F8" w:rsidRPr="00EC14DE" w:rsidRDefault="00C068F8">
            <w:pPr>
              <w:jc w:val="right"/>
              <w:rPr>
                <w:rFonts w:cs="Times New Roman"/>
              </w:rPr>
            </w:pPr>
            <w:r w:rsidRPr="00EC14DE">
              <w:rPr>
                <w:rFonts w:cs="Times New Roman"/>
              </w:rPr>
              <w:t>503.921</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4656F8" w14:textId="77777777" w:rsidR="00C068F8" w:rsidRPr="00EC14DE" w:rsidRDefault="00C068F8">
            <w:pPr>
              <w:jc w:val="right"/>
              <w:rPr>
                <w:rFonts w:cs="Times New Roman"/>
              </w:rPr>
            </w:pPr>
            <w:r w:rsidRPr="00EC14DE">
              <w:rPr>
                <w:rFonts w:cs="Times New Roman"/>
              </w:rPr>
              <w:t>504.800</w:t>
            </w:r>
          </w:p>
        </w:tc>
        <w:tc>
          <w:tcPr>
            <w:tcW w:w="36" w:type="dxa"/>
            <w:tcMar>
              <w:top w:w="0" w:type="dxa"/>
              <w:left w:w="70" w:type="dxa"/>
              <w:bottom w:w="0" w:type="dxa"/>
              <w:right w:w="70" w:type="dxa"/>
            </w:tcMar>
            <w:vAlign w:val="center"/>
            <w:hideMark/>
          </w:tcPr>
          <w:p w14:paraId="2A834A67" w14:textId="77777777" w:rsidR="00C068F8" w:rsidRPr="00EC14DE" w:rsidRDefault="00C068F8">
            <w:pPr>
              <w:rPr>
                <w:rFonts w:cs="Times New Roman"/>
                <w:sz w:val="24"/>
                <w:szCs w:val="24"/>
              </w:rPr>
            </w:pPr>
          </w:p>
        </w:tc>
        <w:tc>
          <w:tcPr>
            <w:tcW w:w="6" w:type="dxa"/>
            <w:vAlign w:val="center"/>
            <w:hideMark/>
          </w:tcPr>
          <w:p w14:paraId="09CA10E3" w14:textId="77777777" w:rsidR="00C068F8" w:rsidRPr="00EC14DE" w:rsidRDefault="00C068F8">
            <w:pPr>
              <w:rPr>
                <w:rFonts w:eastAsia="Times New Roman" w:cs="Times New Roman"/>
                <w:sz w:val="20"/>
                <w:szCs w:val="20"/>
              </w:rPr>
            </w:pPr>
          </w:p>
        </w:tc>
      </w:tr>
      <w:tr w:rsidR="0080514E" w:rsidRPr="00EC14DE" w14:paraId="085152E4"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6ECA42E" w14:textId="77777777" w:rsidR="00C068F8" w:rsidRPr="00EC14DE" w:rsidRDefault="00C068F8">
            <w:pPr>
              <w:rPr>
                <w:rFonts w:cs="Times New Roman"/>
              </w:rPr>
            </w:pPr>
            <w:r w:rsidRPr="00EC14DE">
              <w:rPr>
                <w:rFonts w:cs="Times New Roman"/>
              </w:rPr>
              <w:t>UMBRIA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635C84" w14:textId="77777777" w:rsidR="00C068F8" w:rsidRPr="00EC14DE" w:rsidRDefault="00C068F8">
            <w:pPr>
              <w:jc w:val="right"/>
              <w:rPr>
                <w:rFonts w:cs="Times New Roman"/>
              </w:rPr>
            </w:pPr>
            <w:r w:rsidRPr="00EC14DE">
              <w:rPr>
                <w:rFonts w:cs="Times New Roman"/>
              </w:rPr>
              <w:t>119.202</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E10BB3" w14:textId="77777777" w:rsidR="00C068F8" w:rsidRPr="00EC14DE" w:rsidRDefault="00C068F8">
            <w:pPr>
              <w:jc w:val="right"/>
              <w:rPr>
                <w:rFonts w:cs="Times New Roman"/>
              </w:rPr>
            </w:pPr>
            <w:r w:rsidRPr="00EC14DE">
              <w:rPr>
                <w:rFonts w:cs="Times New Roman"/>
              </w:rPr>
              <w:t>119.200</w:t>
            </w:r>
          </w:p>
        </w:tc>
        <w:tc>
          <w:tcPr>
            <w:tcW w:w="36" w:type="dxa"/>
            <w:tcMar>
              <w:top w:w="0" w:type="dxa"/>
              <w:left w:w="70" w:type="dxa"/>
              <w:bottom w:w="0" w:type="dxa"/>
              <w:right w:w="70" w:type="dxa"/>
            </w:tcMar>
            <w:vAlign w:val="center"/>
            <w:hideMark/>
          </w:tcPr>
          <w:p w14:paraId="018A7A0B" w14:textId="77777777" w:rsidR="00C068F8" w:rsidRPr="00EC14DE" w:rsidRDefault="00C068F8">
            <w:pPr>
              <w:rPr>
                <w:rFonts w:cs="Times New Roman"/>
                <w:sz w:val="24"/>
                <w:szCs w:val="24"/>
              </w:rPr>
            </w:pPr>
          </w:p>
        </w:tc>
        <w:tc>
          <w:tcPr>
            <w:tcW w:w="6" w:type="dxa"/>
            <w:vAlign w:val="center"/>
            <w:hideMark/>
          </w:tcPr>
          <w:p w14:paraId="3878AB53" w14:textId="77777777" w:rsidR="00C068F8" w:rsidRPr="00EC14DE" w:rsidRDefault="00C068F8">
            <w:pPr>
              <w:rPr>
                <w:rFonts w:eastAsia="Times New Roman" w:cs="Times New Roman"/>
                <w:sz w:val="20"/>
                <w:szCs w:val="20"/>
              </w:rPr>
            </w:pPr>
          </w:p>
        </w:tc>
      </w:tr>
      <w:tr w:rsidR="0080514E" w:rsidRPr="00EC14DE" w14:paraId="053F382D"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E5BB90" w14:textId="77777777" w:rsidR="00C068F8" w:rsidRPr="00EC14DE" w:rsidRDefault="00C068F8">
            <w:pPr>
              <w:rPr>
                <w:rFonts w:cs="Times New Roman"/>
              </w:rPr>
            </w:pPr>
            <w:r w:rsidRPr="00EC14DE">
              <w:rPr>
                <w:rFonts w:cs="Times New Roman"/>
              </w:rPr>
              <w:t>MARCHE</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5948C6" w14:textId="77777777" w:rsidR="00C068F8" w:rsidRPr="00EC14DE" w:rsidRDefault="00C068F8">
            <w:pPr>
              <w:jc w:val="right"/>
              <w:rPr>
                <w:rFonts w:cs="Times New Roman"/>
              </w:rPr>
            </w:pPr>
            <w:r w:rsidRPr="00EC14DE">
              <w:rPr>
                <w:rFonts w:cs="Times New Roman"/>
              </w:rPr>
              <w:t>205.068</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499605" w14:textId="77777777" w:rsidR="00C068F8" w:rsidRPr="00EC14DE" w:rsidRDefault="00C068F8">
            <w:pPr>
              <w:jc w:val="right"/>
              <w:rPr>
                <w:rFonts w:cs="Times New Roman"/>
              </w:rPr>
            </w:pPr>
            <w:r w:rsidRPr="00EC14DE">
              <w:rPr>
                <w:rFonts w:cs="Times New Roman"/>
              </w:rPr>
              <w:t>205.600</w:t>
            </w:r>
          </w:p>
        </w:tc>
        <w:tc>
          <w:tcPr>
            <w:tcW w:w="36" w:type="dxa"/>
            <w:tcMar>
              <w:top w:w="0" w:type="dxa"/>
              <w:left w:w="70" w:type="dxa"/>
              <w:bottom w:w="0" w:type="dxa"/>
              <w:right w:w="70" w:type="dxa"/>
            </w:tcMar>
            <w:vAlign w:val="center"/>
            <w:hideMark/>
          </w:tcPr>
          <w:p w14:paraId="700CF93B" w14:textId="77777777" w:rsidR="00C068F8" w:rsidRPr="00EC14DE" w:rsidRDefault="00C068F8">
            <w:pPr>
              <w:rPr>
                <w:rFonts w:cs="Times New Roman"/>
                <w:sz w:val="24"/>
                <w:szCs w:val="24"/>
              </w:rPr>
            </w:pPr>
          </w:p>
        </w:tc>
        <w:tc>
          <w:tcPr>
            <w:tcW w:w="6" w:type="dxa"/>
            <w:vAlign w:val="center"/>
            <w:hideMark/>
          </w:tcPr>
          <w:p w14:paraId="3CC24E36" w14:textId="77777777" w:rsidR="00C068F8" w:rsidRPr="00EC14DE" w:rsidRDefault="00C068F8">
            <w:pPr>
              <w:rPr>
                <w:rFonts w:eastAsia="Times New Roman" w:cs="Times New Roman"/>
                <w:sz w:val="20"/>
                <w:szCs w:val="20"/>
              </w:rPr>
            </w:pPr>
          </w:p>
        </w:tc>
      </w:tr>
      <w:tr w:rsidR="0080514E" w:rsidRPr="00EC14DE" w14:paraId="604FF329"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5ABF8E" w14:textId="77777777" w:rsidR="00C068F8" w:rsidRPr="00EC14DE" w:rsidRDefault="00C068F8">
            <w:pPr>
              <w:rPr>
                <w:rFonts w:cs="Times New Roman"/>
              </w:rPr>
            </w:pPr>
            <w:r w:rsidRPr="00EC14DE">
              <w:rPr>
                <w:rFonts w:cs="Times New Roman"/>
              </w:rPr>
              <w:t>LAZIO</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73A70A" w14:textId="77777777" w:rsidR="00C068F8" w:rsidRPr="00EC14DE" w:rsidRDefault="00C068F8">
            <w:pPr>
              <w:jc w:val="right"/>
              <w:rPr>
                <w:rFonts w:cs="Times New Roman"/>
              </w:rPr>
            </w:pPr>
            <w:r w:rsidRPr="00EC14DE">
              <w:rPr>
                <w:rFonts w:cs="Times New Roman"/>
              </w:rPr>
              <w:t>774.269</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DC1F86" w14:textId="77777777" w:rsidR="00C068F8" w:rsidRPr="00EC14DE" w:rsidRDefault="00C068F8">
            <w:pPr>
              <w:jc w:val="right"/>
              <w:rPr>
                <w:rFonts w:cs="Times New Roman"/>
              </w:rPr>
            </w:pPr>
            <w:r w:rsidRPr="00EC14DE">
              <w:rPr>
                <w:rFonts w:cs="Times New Roman"/>
              </w:rPr>
              <w:t>767.200</w:t>
            </w:r>
          </w:p>
        </w:tc>
        <w:tc>
          <w:tcPr>
            <w:tcW w:w="36" w:type="dxa"/>
            <w:tcMar>
              <w:top w:w="0" w:type="dxa"/>
              <w:left w:w="70" w:type="dxa"/>
              <w:bottom w:w="0" w:type="dxa"/>
              <w:right w:w="70" w:type="dxa"/>
            </w:tcMar>
            <w:vAlign w:val="center"/>
            <w:hideMark/>
          </w:tcPr>
          <w:p w14:paraId="37B218F1" w14:textId="77777777" w:rsidR="00C068F8" w:rsidRPr="00EC14DE" w:rsidRDefault="00C068F8">
            <w:pPr>
              <w:rPr>
                <w:rFonts w:cs="Times New Roman"/>
                <w:sz w:val="24"/>
                <w:szCs w:val="24"/>
              </w:rPr>
            </w:pPr>
          </w:p>
        </w:tc>
        <w:tc>
          <w:tcPr>
            <w:tcW w:w="6" w:type="dxa"/>
            <w:vAlign w:val="center"/>
            <w:hideMark/>
          </w:tcPr>
          <w:p w14:paraId="4673B768" w14:textId="77777777" w:rsidR="00C068F8" w:rsidRPr="00EC14DE" w:rsidRDefault="00C068F8">
            <w:pPr>
              <w:rPr>
                <w:rFonts w:eastAsia="Times New Roman" w:cs="Times New Roman"/>
                <w:sz w:val="20"/>
                <w:szCs w:val="20"/>
              </w:rPr>
            </w:pPr>
          </w:p>
        </w:tc>
      </w:tr>
      <w:tr w:rsidR="0080514E" w:rsidRPr="00EC14DE" w14:paraId="6D6CC353"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3058B0" w14:textId="77777777" w:rsidR="00C068F8" w:rsidRPr="00EC14DE" w:rsidRDefault="00C068F8">
            <w:pPr>
              <w:rPr>
                <w:rFonts w:cs="Times New Roman"/>
              </w:rPr>
            </w:pPr>
            <w:r w:rsidRPr="00EC14DE">
              <w:rPr>
                <w:rFonts w:cs="Times New Roman"/>
              </w:rPr>
              <w:t>ABRUZZO</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C74E40" w14:textId="77777777" w:rsidR="00C068F8" w:rsidRPr="00EC14DE" w:rsidRDefault="00C068F8">
            <w:pPr>
              <w:jc w:val="right"/>
              <w:rPr>
                <w:rFonts w:cs="Times New Roman"/>
              </w:rPr>
            </w:pPr>
            <w:r w:rsidRPr="00EC14DE">
              <w:rPr>
                <w:rFonts w:cs="Times New Roman"/>
              </w:rPr>
              <w:t>175.184</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11BFE5" w14:textId="77777777" w:rsidR="00C068F8" w:rsidRPr="00EC14DE" w:rsidRDefault="00C068F8">
            <w:pPr>
              <w:jc w:val="right"/>
              <w:rPr>
                <w:rFonts w:cs="Times New Roman"/>
              </w:rPr>
            </w:pPr>
            <w:r w:rsidRPr="00EC14DE">
              <w:rPr>
                <w:rFonts w:cs="Times New Roman"/>
              </w:rPr>
              <w:t>175.200</w:t>
            </w:r>
          </w:p>
        </w:tc>
        <w:tc>
          <w:tcPr>
            <w:tcW w:w="36" w:type="dxa"/>
            <w:tcMar>
              <w:top w:w="0" w:type="dxa"/>
              <w:left w:w="70" w:type="dxa"/>
              <w:bottom w:w="0" w:type="dxa"/>
              <w:right w:w="70" w:type="dxa"/>
            </w:tcMar>
            <w:vAlign w:val="center"/>
            <w:hideMark/>
          </w:tcPr>
          <w:p w14:paraId="67FB9B71" w14:textId="77777777" w:rsidR="00C068F8" w:rsidRPr="00EC14DE" w:rsidRDefault="00C068F8">
            <w:pPr>
              <w:rPr>
                <w:rFonts w:cs="Times New Roman"/>
                <w:sz w:val="24"/>
                <w:szCs w:val="24"/>
              </w:rPr>
            </w:pPr>
          </w:p>
        </w:tc>
        <w:tc>
          <w:tcPr>
            <w:tcW w:w="6" w:type="dxa"/>
            <w:vAlign w:val="center"/>
            <w:hideMark/>
          </w:tcPr>
          <w:p w14:paraId="3A872394" w14:textId="77777777" w:rsidR="00C068F8" w:rsidRPr="00EC14DE" w:rsidRDefault="00C068F8">
            <w:pPr>
              <w:rPr>
                <w:rFonts w:eastAsia="Times New Roman" w:cs="Times New Roman"/>
                <w:sz w:val="20"/>
                <w:szCs w:val="20"/>
              </w:rPr>
            </w:pPr>
          </w:p>
        </w:tc>
      </w:tr>
      <w:tr w:rsidR="0080514E" w:rsidRPr="00EC14DE" w14:paraId="79A7FFD3"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8E29D6" w14:textId="77777777" w:rsidR="00C068F8" w:rsidRPr="00EC14DE" w:rsidRDefault="00C068F8">
            <w:pPr>
              <w:rPr>
                <w:rFonts w:cs="Times New Roman"/>
              </w:rPr>
            </w:pPr>
            <w:r w:rsidRPr="00EC14DE">
              <w:rPr>
                <w:rFonts w:cs="Times New Roman"/>
              </w:rPr>
              <w:t>MOLISE</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E7B2C2" w14:textId="77777777" w:rsidR="00C068F8" w:rsidRPr="00EC14DE" w:rsidRDefault="00C068F8">
            <w:pPr>
              <w:jc w:val="right"/>
              <w:rPr>
                <w:rFonts w:cs="Times New Roman"/>
              </w:rPr>
            </w:pPr>
            <w:r w:rsidRPr="00EC14DE">
              <w:rPr>
                <w:rFonts w:cs="Times New Roman"/>
              </w:rPr>
              <w:t>41.056</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C1A947" w14:textId="77777777" w:rsidR="00C068F8" w:rsidRPr="00EC14DE" w:rsidRDefault="00C068F8">
            <w:pPr>
              <w:jc w:val="right"/>
              <w:rPr>
                <w:rFonts w:cs="Times New Roman"/>
              </w:rPr>
            </w:pPr>
            <w:r w:rsidRPr="00EC14DE">
              <w:rPr>
                <w:rFonts w:cs="Times New Roman"/>
              </w:rPr>
              <w:t>40.800</w:t>
            </w:r>
          </w:p>
        </w:tc>
        <w:tc>
          <w:tcPr>
            <w:tcW w:w="36" w:type="dxa"/>
            <w:tcMar>
              <w:top w:w="0" w:type="dxa"/>
              <w:left w:w="70" w:type="dxa"/>
              <w:bottom w:w="0" w:type="dxa"/>
              <w:right w:w="70" w:type="dxa"/>
            </w:tcMar>
            <w:vAlign w:val="center"/>
            <w:hideMark/>
          </w:tcPr>
          <w:p w14:paraId="6F87BDD7" w14:textId="77777777" w:rsidR="00C068F8" w:rsidRPr="00EC14DE" w:rsidRDefault="00C068F8">
            <w:pPr>
              <w:rPr>
                <w:rFonts w:cs="Times New Roman"/>
                <w:sz w:val="24"/>
                <w:szCs w:val="24"/>
              </w:rPr>
            </w:pPr>
          </w:p>
        </w:tc>
        <w:tc>
          <w:tcPr>
            <w:tcW w:w="6" w:type="dxa"/>
            <w:vAlign w:val="center"/>
            <w:hideMark/>
          </w:tcPr>
          <w:p w14:paraId="458AD206" w14:textId="77777777" w:rsidR="00C068F8" w:rsidRPr="00EC14DE" w:rsidRDefault="00C068F8">
            <w:pPr>
              <w:rPr>
                <w:rFonts w:eastAsia="Times New Roman" w:cs="Times New Roman"/>
                <w:sz w:val="20"/>
                <w:szCs w:val="20"/>
              </w:rPr>
            </w:pPr>
          </w:p>
        </w:tc>
      </w:tr>
      <w:tr w:rsidR="0080514E" w:rsidRPr="00EC14DE" w14:paraId="7034AC77"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0E4514" w14:textId="77777777" w:rsidR="00C068F8" w:rsidRPr="00EC14DE" w:rsidRDefault="00C068F8">
            <w:pPr>
              <w:rPr>
                <w:rFonts w:cs="Times New Roman"/>
              </w:rPr>
            </w:pPr>
            <w:r w:rsidRPr="00EC14DE">
              <w:rPr>
                <w:rFonts w:cs="Times New Roman"/>
              </w:rPr>
              <w:t>CAMPANIA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7CDAD1" w14:textId="77777777" w:rsidR="00C068F8" w:rsidRPr="00EC14DE" w:rsidRDefault="00C068F8">
            <w:pPr>
              <w:jc w:val="right"/>
              <w:rPr>
                <w:rFonts w:cs="Times New Roman"/>
              </w:rPr>
            </w:pPr>
            <w:r w:rsidRPr="00EC14DE">
              <w:rPr>
                <w:rFonts w:cs="Times New Roman"/>
              </w:rPr>
              <w:t>744.145</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E379DD" w14:textId="77777777" w:rsidR="00C068F8" w:rsidRPr="00EC14DE" w:rsidRDefault="00C068F8">
            <w:pPr>
              <w:jc w:val="right"/>
              <w:rPr>
                <w:rFonts w:cs="Times New Roman"/>
              </w:rPr>
            </w:pPr>
            <w:r w:rsidRPr="00EC14DE">
              <w:rPr>
                <w:rFonts w:cs="Times New Roman"/>
              </w:rPr>
              <w:t>741.600</w:t>
            </w:r>
          </w:p>
        </w:tc>
        <w:tc>
          <w:tcPr>
            <w:tcW w:w="36" w:type="dxa"/>
            <w:tcMar>
              <w:top w:w="0" w:type="dxa"/>
              <w:left w:w="70" w:type="dxa"/>
              <w:bottom w:w="0" w:type="dxa"/>
              <w:right w:w="70" w:type="dxa"/>
            </w:tcMar>
            <w:vAlign w:val="center"/>
            <w:hideMark/>
          </w:tcPr>
          <w:p w14:paraId="20C6E961" w14:textId="77777777" w:rsidR="00C068F8" w:rsidRPr="00EC14DE" w:rsidRDefault="00C068F8">
            <w:pPr>
              <w:rPr>
                <w:rFonts w:cs="Times New Roman"/>
                <w:sz w:val="24"/>
                <w:szCs w:val="24"/>
              </w:rPr>
            </w:pPr>
          </w:p>
        </w:tc>
        <w:tc>
          <w:tcPr>
            <w:tcW w:w="6" w:type="dxa"/>
            <w:vAlign w:val="center"/>
            <w:hideMark/>
          </w:tcPr>
          <w:p w14:paraId="09F3FCC4" w14:textId="77777777" w:rsidR="00C068F8" w:rsidRPr="00EC14DE" w:rsidRDefault="00C068F8">
            <w:pPr>
              <w:rPr>
                <w:rFonts w:eastAsia="Times New Roman" w:cs="Times New Roman"/>
                <w:sz w:val="20"/>
                <w:szCs w:val="20"/>
              </w:rPr>
            </w:pPr>
          </w:p>
        </w:tc>
      </w:tr>
      <w:tr w:rsidR="0080514E" w:rsidRPr="00EC14DE" w14:paraId="7E789243"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C93317" w14:textId="77777777" w:rsidR="00C068F8" w:rsidRPr="00EC14DE" w:rsidRDefault="00C068F8">
            <w:pPr>
              <w:rPr>
                <w:rFonts w:cs="Times New Roman"/>
              </w:rPr>
            </w:pPr>
            <w:r w:rsidRPr="00EC14DE">
              <w:rPr>
                <w:rFonts w:cs="Times New Roman"/>
              </w:rPr>
              <w:t>PUGLIA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B9B586" w14:textId="77777777" w:rsidR="00C068F8" w:rsidRPr="00EC14DE" w:rsidRDefault="00C068F8">
            <w:pPr>
              <w:jc w:val="right"/>
              <w:rPr>
                <w:rFonts w:cs="Times New Roman"/>
              </w:rPr>
            </w:pPr>
            <w:r w:rsidRPr="00EC14DE">
              <w:rPr>
                <w:rFonts w:cs="Times New Roman"/>
              </w:rPr>
              <w:t>529.740</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75AA0C" w14:textId="77777777" w:rsidR="00C068F8" w:rsidRPr="00EC14DE" w:rsidRDefault="00C068F8">
            <w:pPr>
              <w:jc w:val="right"/>
              <w:rPr>
                <w:rFonts w:cs="Times New Roman"/>
              </w:rPr>
            </w:pPr>
            <w:r w:rsidRPr="00EC14DE">
              <w:rPr>
                <w:rFonts w:cs="Times New Roman"/>
              </w:rPr>
              <w:t>526.400</w:t>
            </w:r>
          </w:p>
        </w:tc>
        <w:tc>
          <w:tcPr>
            <w:tcW w:w="36" w:type="dxa"/>
            <w:tcMar>
              <w:top w:w="0" w:type="dxa"/>
              <w:left w:w="70" w:type="dxa"/>
              <w:bottom w:w="0" w:type="dxa"/>
              <w:right w:w="70" w:type="dxa"/>
            </w:tcMar>
            <w:vAlign w:val="center"/>
            <w:hideMark/>
          </w:tcPr>
          <w:p w14:paraId="04097C6F" w14:textId="77777777" w:rsidR="00C068F8" w:rsidRPr="00EC14DE" w:rsidRDefault="00C068F8">
            <w:pPr>
              <w:rPr>
                <w:rFonts w:cs="Times New Roman"/>
                <w:sz w:val="24"/>
                <w:szCs w:val="24"/>
              </w:rPr>
            </w:pPr>
          </w:p>
        </w:tc>
        <w:tc>
          <w:tcPr>
            <w:tcW w:w="6" w:type="dxa"/>
            <w:vAlign w:val="center"/>
            <w:hideMark/>
          </w:tcPr>
          <w:p w14:paraId="7AF75B5A" w14:textId="77777777" w:rsidR="00C068F8" w:rsidRPr="00EC14DE" w:rsidRDefault="00C068F8">
            <w:pPr>
              <w:rPr>
                <w:rFonts w:eastAsia="Times New Roman" w:cs="Times New Roman"/>
                <w:sz w:val="20"/>
                <w:szCs w:val="20"/>
              </w:rPr>
            </w:pPr>
          </w:p>
        </w:tc>
      </w:tr>
      <w:tr w:rsidR="0080514E" w:rsidRPr="00EC14DE" w14:paraId="55928669"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901D3B" w14:textId="77777777" w:rsidR="00C068F8" w:rsidRPr="00EC14DE" w:rsidRDefault="00C068F8">
            <w:pPr>
              <w:rPr>
                <w:rFonts w:cs="Times New Roman"/>
              </w:rPr>
            </w:pPr>
            <w:r w:rsidRPr="00EC14DE">
              <w:rPr>
                <w:rFonts w:cs="Times New Roman"/>
              </w:rPr>
              <w:t>BASILICATA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BE5B3E" w14:textId="77777777" w:rsidR="00C068F8" w:rsidRPr="00EC14DE" w:rsidRDefault="00C068F8">
            <w:pPr>
              <w:jc w:val="right"/>
              <w:rPr>
                <w:rFonts w:cs="Times New Roman"/>
              </w:rPr>
            </w:pPr>
            <w:r w:rsidRPr="00EC14DE">
              <w:rPr>
                <w:rFonts w:cs="Times New Roman"/>
              </w:rPr>
              <w:t>74.750</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BF2846" w14:textId="77777777" w:rsidR="00C068F8" w:rsidRPr="00EC14DE" w:rsidRDefault="00C068F8">
            <w:pPr>
              <w:jc w:val="right"/>
              <w:rPr>
                <w:rFonts w:cs="Times New Roman"/>
              </w:rPr>
            </w:pPr>
            <w:r w:rsidRPr="00EC14DE">
              <w:rPr>
                <w:rFonts w:cs="Times New Roman"/>
              </w:rPr>
              <w:t>74.400</w:t>
            </w:r>
          </w:p>
        </w:tc>
        <w:tc>
          <w:tcPr>
            <w:tcW w:w="36" w:type="dxa"/>
            <w:tcMar>
              <w:top w:w="0" w:type="dxa"/>
              <w:left w:w="70" w:type="dxa"/>
              <w:bottom w:w="0" w:type="dxa"/>
              <w:right w:w="70" w:type="dxa"/>
            </w:tcMar>
            <w:vAlign w:val="center"/>
            <w:hideMark/>
          </w:tcPr>
          <w:p w14:paraId="0278DB9A" w14:textId="77777777" w:rsidR="00C068F8" w:rsidRPr="00EC14DE" w:rsidRDefault="00C068F8">
            <w:pPr>
              <w:rPr>
                <w:rFonts w:cs="Times New Roman"/>
                <w:sz w:val="24"/>
                <w:szCs w:val="24"/>
              </w:rPr>
            </w:pPr>
          </w:p>
        </w:tc>
        <w:tc>
          <w:tcPr>
            <w:tcW w:w="6" w:type="dxa"/>
            <w:vAlign w:val="center"/>
            <w:hideMark/>
          </w:tcPr>
          <w:p w14:paraId="718D5213" w14:textId="77777777" w:rsidR="00C068F8" w:rsidRPr="00EC14DE" w:rsidRDefault="00C068F8">
            <w:pPr>
              <w:rPr>
                <w:rFonts w:eastAsia="Times New Roman" w:cs="Times New Roman"/>
                <w:sz w:val="20"/>
                <w:szCs w:val="20"/>
              </w:rPr>
            </w:pPr>
          </w:p>
        </w:tc>
      </w:tr>
      <w:tr w:rsidR="0080514E" w:rsidRPr="00EC14DE" w14:paraId="6A47A14F"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3B3D16" w14:textId="77777777" w:rsidR="00C068F8" w:rsidRPr="00EC14DE" w:rsidRDefault="00C068F8">
            <w:pPr>
              <w:rPr>
                <w:rFonts w:cs="Times New Roman"/>
              </w:rPr>
            </w:pPr>
            <w:r w:rsidRPr="00EC14DE">
              <w:rPr>
                <w:rFonts w:cs="Times New Roman"/>
              </w:rPr>
              <w:t>CALABRIA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A3781F" w14:textId="77777777" w:rsidR="00C068F8" w:rsidRPr="00EC14DE" w:rsidRDefault="00C068F8">
            <w:pPr>
              <w:jc w:val="right"/>
              <w:rPr>
                <w:rFonts w:cs="Times New Roman"/>
              </w:rPr>
            </w:pPr>
            <w:r w:rsidRPr="00EC14DE">
              <w:rPr>
                <w:rFonts w:cs="Times New Roman"/>
              </w:rPr>
              <w:t>255.241</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43EBF2" w14:textId="77777777" w:rsidR="00C068F8" w:rsidRPr="00EC14DE" w:rsidRDefault="00C068F8">
            <w:pPr>
              <w:jc w:val="right"/>
              <w:rPr>
                <w:rFonts w:cs="Times New Roman"/>
              </w:rPr>
            </w:pPr>
            <w:r w:rsidRPr="00EC14DE">
              <w:rPr>
                <w:rFonts w:cs="Times New Roman"/>
              </w:rPr>
              <w:t>251.200</w:t>
            </w:r>
          </w:p>
        </w:tc>
        <w:tc>
          <w:tcPr>
            <w:tcW w:w="36" w:type="dxa"/>
            <w:tcMar>
              <w:top w:w="0" w:type="dxa"/>
              <w:left w:w="70" w:type="dxa"/>
              <w:bottom w:w="0" w:type="dxa"/>
              <w:right w:w="70" w:type="dxa"/>
            </w:tcMar>
            <w:vAlign w:val="center"/>
            <w:hideMark/>
          </w:tcPr>
          <w:p w14:paraId="02BF5C9D" w14:textId="77777777" w:rsidR="00C068F8" w:rsidRPr="00EC14DE" w:rsidRDefault="00C068F8">
            <w:pPr>
              <w:rPr>
                <w:rFonts w:cs="Times New Roman"/>
                <w:sz w:val="24"/>
                <w:szCs w:val="24"/>
              </w:rPr>
            </w:pPr>
          </w:p>
        </w:tc>
        <w:tc>
          <w:tcPr>
            <w:tcW w:w="6" w:type="dxa"/>
            <w:vAlign w:val="center"/>
            <w:hideMark/>
          </w:tcPr>
          <w:p w14:paraId="0250A146" w14:textId="77777777" w:rsidR="00C068F8" w:rsidRPr="00EC14DE" w:rsidRDefault="00C068F8">
            <w:pPr>
              <w:rPr>
                <w:rFonts w:eastAsia="Times New Roman" w:cs="Times New Roman"/>
                <w:sz w:val="20"/>
                <w:szCs w:val="20"/>
              </w:rPr>
            </w:pPr>
          </w:p>
        </w:tc>
      </w:tr>
      <w:tr w:rsidR="0080514E" w:rsidRPr="00EC14DE" w14:paraId="36540601"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0456B0" w14:textId="77777777" w:rsidR="00C068F8" w:rsidRPr="00EC14DE" w:rsidRDefault="00C068F8">
            <w:pPr>
              <w:rPr>
                <w:rFonts w:cs="Times New Roman"/>
              </w:rPr>
            </w:pPr>
            <w:r w:rsidRPr="00EC14DE">
              <w:rPr>
                <w:rFonts w:cs="Times New Roman"/>
              </w:rPr>
              <w:t>SICILIA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7E92C1" w14:textId="77777777" w:rsidR="00C068F8" w:rsidRPr="00EC14DE" w:rsidRDefault="00C068F8">
            <w:pPr>
              <w:jc w:val="right"/>
              <w:rPr>
                <w:rFonts w:cs="Times New Roman"/>
              </w:rPr>
            </w:pPr>
            <w:r w:rsidRPr="00EC14DE">
              <w:rPr>
                <w:rFonts w:cs="Times New Roman"/>
              </w:rPr>
              <w:t>652.914</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D0B069" w14:textId="77777777" w:rsidR="00C068F8" w:rsidRPr="00EC14DE" w:rsidRDefault="00C068F8">
            <w:pPr>
              <w:jc w:val="right"/>
              <w:rPr>
                <w:rFonts w:cs="Times New Roman"/>
              </w:rPr>
            </w:pPr>
            <w:r w:rsidRPr="00EC14DE">
              <w:rPr>
                <w:rFonts w:cs="Times New Roman"/>
              </w:rPr>
              <w:t>644.800</w:t>
            </w:r>
          </w:p>
        </w:tc>
        <w:tc>
          <w:tcPr>
            <w:tcW w:w="36" w:type="dxa"/>
            <w:tcMar>
              <w:top w:w="0" w:type="dxa"/>
              <w:left w:w="70" w:type="dxa"/>
              <w:bottom w:w="0" w:type="dxa"/>
              <w:right w:w="70" w:type="dxa"/>
            </w:tcMar>
            <w:vAlign w:val="center"/>
            <w:hideMark/>
          </w:tcPr>
          <w:p w14:paraId="310C6BC3" w14:textId="77777777" w:rsidR="00C068F8" w:rsidRPr="00EC14DE" w:rsidRDefault="00C068F8">
            <w:pPr>
              <w:rPr>
                <w:rFonts w:cs="Times New Roman"/>
                <w:sz w:val="24"/>
                <w:szCs w:val="24"/>
              </w:rPr>
            </w:pPr>
          </w:p>
        </w:tc>
        <w:tc>
          <w:tcPr>
            <w:tcW w:w="6" w:type="dxa"/>
            <w:vAlign w:val="center"/>
            <w:hideMark/>
          </w:tcPr>
          <w:p w14:paraId="448ED37C" w14:textId="77777777" w:rsidR="00C068F8" w:rsidRPr="00EC14DE" w:rsidRDefault="00C068F8">
            <w:pPr>
              <w:rPr>
                <w:rFonts w:eastAsia="Times New Roman" w:cs="Times New Roman"/>
                <w:sz w:val="20"/>
                <w:szCs w:val="20"/>
              </w:rPr>
            </w:pPr>
          </w:p>
        </w:tc>
      </w:tr>
      <w:tr w:rsidR="0080514E" w:rsidRPr="00EC14DE" w14:paraId="250396F5"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77128E" w14:textId="77777777" w:rsidR="00C068F8" w:rsidRPr="00EC14DE" w:rsidRDefault="00C068F8">
            <w:pPr>
              <w:rPr>
                <w:rFonts w:cs="Times New Roman"/>
              </w:rPr>
            </w:pPr>
            <w:r w:rsidRPr="00EC14DE">
              <w:rPr>
                <w:rFonts w:cs="Times New Roman"/>
              </w:rPr>
              <w:t>SARDEGNA</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0FA24A" w14:textId="77777777" w:rsidR="00C068F8" w:rsidRPr="00EC14DE" w:rsidRDefault="00C068F8">
            <w:pPr>
              <w:jc w:val="right"/>
              <w:rPr>
                <w:rFonts w:cs="Times New Roman"/>
              </w:rPr>
            </w:pPr>
            <w:r w:rsidRPr="00EC14DE">
              <w:rPr>
                <w:rFonts w:cs="Times New Roman"/>
              </w:rPr>
              <w:t>219.515</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D1960D" w14:textId="77777777" w:rsidR="00C068F8" w:rsidRPr="00EC14DE" w:rsidRDefault="00C068F8">
            <w:pPr>
              <w:jc w:val="right"/>
              <w:rPr>
                <w:rFonts w:cs="Times New Roman"/>
              </w:rPr>
            </w:pPr>
            <w:r w:rsidRPr="00EC14DE">
              <w:rPr>
                <w:rFonts w:cs="Times New Roman"/>
              </w:rPr>
              <w:t>218.400</w:t>
            </w:r>
          </w:p>
        </w:tc>
        <w:tc>
          <w:tcPr>
            <w:tcW w:w="36" w:type="dxa"/>
            <w:tcMar>
              <w:top w:w="0" w:type="dxa"/>
              <w:left w:w="70" w:type="dxa"/>
              <w:bottom w:w="0" w:type="dxa"/>
              <w:right w:w="70" w:type="dxa"/>
            </w:tcMar>
            <w:vAlign w:val="center"/>
            <w:hideMark/>
          </w:tcPr>
          <w:p w14:paraId="487627CC" w14:textId="77777777" w:rsidR="00C068F8" w:rsidRPr="00EC14DE" w:rsidRDefault="00C068F8">
            <w:pPr>
              <w:rPr>
                <w:rFonts w:cs="Times New Roman"/>
                <w:sz w:val="24"/>
                <w:szCs w:val="24"/>
              </w:rPr>
            </w:pPr>
          </w:p>
        </w:tc>
        <w:tc>
          <w:tcPr>
            <w:tcW w:w="6" w:type="dxa"/>
            <w:vAlign w:val="center"/>
            <w:hideMark/>
          </w:tcPr>
          <w:p w14:paraId="77E19AFB" w14:textId="77777777" w:rsidR="00C068F8" w:rsidRPr="00EC14DE" w:rsidRDefault="00C068F8">
            <w:pPr>
              <w:rPr>
                <w:rFonts w:eastAsia="Times New Roman" w:cs="Times New Roman"/>
                <w:sz w:val="20"/>
                <w:szCs w:val="20"/>
              </w:rPr>
            </w:pPr>
          </w:p>
        </w:tc>
      </w:tr>
      <w:tr w:rsidR="0080514E" w:rsidRPr="00EC14DE" w14:paraId="0D949247" w14:textId="77777777" w:rsidTr="00C068F8">
        <w:trPr>
          <w:trHeight w:val="420"/>
        </w:trPr>
        <w:tc>
          <w:tcPr>
            <w:tcW w:w="39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C2ED94" w14:textId="77777777" w:rsidR="00C068F8" w:rsidRPr="00EC14DE" w:rsidRDefault="00C068F8">
            <w:pPr>
              <w:rPr>
                <w:rFonts w:cs="Times New Roman"/>
                <w:b/>
                <w:bCs/>
              </w:rPr>
            </w:pPr>
            <w:r w:rsidRPr="00EC14DE">
              <w:rPr>
                <w:rFonts w:cs="Times New Roman"/>
                <w:b/>
                <w:bCs/>
              </w:rPr>
              <w:t>TOTALE</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20FF8F" w14:textId="77777777" w:rsidR="00C068F8" w:rsidRPr="00EC14DE" w:rsidRDefault="00C068F8">
            <w:pPr>
              <w:jc w:val="right"/>
              <w:rPr>
                <w:rFonts w:cs="Times New Roman"/>
                <w:b/>
                <w:bCs/>
              </w:rPr>
            </w:pPr>
            <w:r w:rsidRPr="00EC14DE">
              <w:rPr>
                <w:rFonts w:cs="Times New Roman"/>
                <w:b/>
                <w:bCs/>
              </w:rPr>
              <w:t>8.000.000</w:t>
            </w:r>
          </w:p>
        </w:tc>
        <w:tc>
          <w:tcPr>
            <w:tcW w:w="15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F90503" w14:textId="77777777" w:rsidR="00C068F8" w:rsidRPr="00EC14DE" w:rsidRDefault="00C068F8">
            <w:pPr>
              <w:jc w:val="right"/>
              <w:rPr>
                <w:rFonts w:cs="Times New Roman"/>
                <w:b/>
                <w:bCs/>
              </w:rPr>
            </w:pPr>
            <w:r w:rsidRPr="00EC14DE">
              <w:rPr>
                <w:rFonts w:cs="Times New Roman"/>
                <w:b/>
                <w:bCs/>
              </w:rPr>
              <w:t>8.000.000</w:t>
            </w:r>
          </w:p>
        </w:tc>
        <w:tc>
          <w:tcPr>
            <w:tcW w:w="36" w:type="dxa"/>
            <w:tcMar>
              <w:top w:w="0" w:type="dxa"/>
              <w:left w:w="70" w:type="dxa"/>
              <w:bottom w:w="0" w:type="dxa"/>
              <w:right w:w="70" w:type="dxa"/>
            </w:tcMar>
            <w:vAlign w:val="center"/>
            <w:hideMark/>
          </w:tcPr>
          <w:p w14:paraId="4A422BDD" w14:textId="77777777" w:rsidR="00C068F8" w:rsidRPr="00EC14DE" w:rsidRDefault="00C068F8">
            <w:pPr>
              <w:rPr>
                <w:rFonts w:cs="Times New Roman"/>
                <w:b/>
                <w:bCs/>
                <w:sz w:val="24"/>
                <w:szCs w:val="24"/>
              </w:rPr>
            </w:pPr>
          </w:p>
        </w:tc>
        <w:tc>
          <w:tcPr>
            <w:tcW w:w="6" w:type="dxa"/>
            <w:vAlign w:val="center"/>
            <w:hideMark/>
          </w:tcPr>
          <w:p w14:paraId="6799AD27" w14:textId="77777777" w:rsidR="00C068F8" w:rsidRPr="00EC14DE" w:rsidRDefault="00C068F8">
            <w:pPr>
              <w:rPr>
                <w:rFonts w:eastAsia="Times New Roman" w:cs="Times New Roman"/>
                <w:sz w:val="20"/>
                <w:szCs w:val="20"/>
              </w:rPr>
            </w:pPr>
          </w:p>
        </w:tc>
      </w:tr>
    </w:tbl>
    <w:p w14:paraId="17BC70DB" w14:textId="77777777" w:rsidR="00C068F8" w:rsidRPr="00EC14DE" w:rsidRDefault="00C068F8" w:rsidP="00C068F8">
      <w:pPr>
        <w:pStyle w:val="wordsection1"/>
        <w:rPr>
          <w:rFonts w:ascii="Arial" w:hAnsi="Arial" w:cs="Arial"/>
        </w:rPr>
      </w:pPr>
    </w:p>
    <w:p w14:paraId="33424AD7" w14:textId="77777777" w:rsidR="00B67AF8" w:rsidRPr="00EC14DE" w:rsidRDefault="00B67AF8">
      <w:pPr>
        <w:spacing w:after="160" w:line="259" w:lineRule="auto"/>
        <w:jc w:val="left"/>
        <w:rPr>
          <w:rFonts w:ascii="Arial" w:hAnsi="Arial" w:cs="Arial"/>
          <w:sz w:val="24"/>
          <w:szCs w:val="24"/>
          <w:lang w:eastAsia="it-IT"/>
        </w:rPr>
      </w:pPr>
      <w:r w:rsidRPr="00EC14DE">
        <w:rPr>
          <w:rFonts w:ascii="Arial" w:hAnsi="Arial" w:cs="Arial"/>
        </w:rPr>
        <w:br w:type="page"/>
      </w:r>
    </w:p>
    <w:p w14:paraId="113DE650" w14:textId="77777777" w:rsidR="0080514E" w:rsidRPr="00EC14DE" w:rsidRDefault="0080514E" w:rsidP="0080514E">
      <w:pPr>
        <w:widowControl w:val="0"/>
        <w:rPr>
          <w:rFonts w:cs="Times New Roman"/>
          <w:b/>
        </w:rPr>
      </w:pPr>
      <w:r w:rsidRPr="00EC14DE">
        <w:rPr>
          <w:rFonts w:cs="Times New Roman"/>
          <w:b/>
        </w:rPr>
        <w:t xml:space="preserve">Allegato </w:t>
      </w:r>
      <w:r w:rsidR="00BF632C" w:rsidRPr="00EC14DE">
        <w:rPr>
          <w:rFonts w:cs="Times New Roman"/>
          <w:b/>
        </w:rPr>
        <w:t xml:space="preserve">5 - Articolo </w:t>
      </w:r>
      <w:r w:rsidR="00A902DC" w:rsidRPr="00EC14DE">
        <w:rPr>
          <w:rFonts w:cs="Times New Roman"/>
          <w:b/>
        </w:rPr>
        <w:t>100</w:t>
      </w:r>
      <w:r w:rsidRPr="00EC14DE">
        <w:rPr>
          <w:rFonts w:cs="Times New Roman"/>
          <w:b/>
        </w:rPr>
        <w:t xml:space="preserve">, </w:t>
      </w:r>
      <w:r w:rsidR="006575E7" w:rsidRPr="00EC14DE">
        <w:rPr>
          <w:rFonts w:cs="Times New Roman"/>
          <w:b/>
        </w:rPr>
        <w:t>comma 1, lettera d</w:t>
      </w:r>
      <w:r w:rsidRPr="00EC14DE">
        <w:rPr>
          <w:rFonts w:cs="Times New Roman"/>
          <w:b/>
        </w:rPr>
        <w:t xml:space="preserve">), recante “Proroga delle disposizioni in materia di assistenza psicologica ex art. 33 del </w:t>
      </w:r>
      <w:r w:rsidR="00DC747F">
        <w:rPr>
          <w:rFonts w:cs="Times New Roman"/>
          <w:b/>
        </w:rPr>
        <w:t>decreto-legge n.</w:t>
      </w:r>
      <w:r w:rsidRPr="00EC14DE">
        <w:rPr>
          <w:rFonts w:cs="Times New Roman"/>
          <w:b/>
        </w:rPr>
        <w:t xml:space="preserve"> 73/2021”</w:t>
      </w:r>
    </w:p>
    <w:p w14:paraId="0EB93420" w14:textId="77777777" w:rsidR="00C068F8" w:rsidRPr="00EC14DE" w:rsidRDefault="00C068F8" w:rsidP="00C068F8">
      <w:pPr>
        <w:pStyle w:val="wordsection1"/>
        <w:rPr>
          <w:rFonts w:ascii="Arial" w:hAnsi="Arial" w:cs="Arial"/>
        </w:rPr>
      </w:pPr>
    </w:p>
    <w:p w14:paraId="721177C7" w14:textId="77777777" w:rsidR="0080514E" w:rsidRPr="00EC14DE" w:rsidRDefault="0080514E" w:rsidP="00C068F8">
      <w:pPr>
        <w:pStyle w:val="wordsection1"/>
        <w:rPr>
          <w:rFonts w:ascii="Arial" w:hAnsi="Arial" w:cs="Arial"/>
        </w:rPr>
      </w:pPr>
    </w:p>
    <w:tbl>
      <w:tblPr>
        <w:tblW w:w="7120" w:type="dxa"/>
        <w:tblInd w:w="284" w:type="dxa"/>
        <w:tblCellMar>
          <w:left w:w="0" w:type="dxa"/>
          <w:right w:w="0" w:type="dxa"/>
        </w:tblCellMar>
        <w:tblLook w:val="04A0" w:firstRow="1" w:lastRow="0" w:firstColumn="1" w:lastColumn="0" w:noHBand="0" w:noVBand="1"/>
      </w:tblPr>
      <w:tblGrid>
        <w:gridCol w:w="3846"/>
        <w:gridCol w:w="1561"/>
        <w:gridCol w:w="1561"/>
        <w:gridCol w:w="146"/>
        <w:gridCol w:w="6"/>
      </w:tblGrid>
      <w:tr w:rsidR="0080514E" w:rsidRPr="00EC14DE" w14:paraId="219AB28D" w14:textId="77777777" w:rsidTr="00C068F8">
        <w:trPr>
          <w:trHeight w:val="330"/>
        </w:trPr>
        <w:tc>
          <w:tcPr>
            <w:tcW w:w="7084" w:type="dxa"/>
            <w:gridSpan w:val="3"/>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2D0A6D" w14:textId="77777777" w:rsidR="00C068F8" w:rsidRPr="00EC14DE" w:rsidRDefault="00C068F8">
            <w:pPr>
              <w:rPr>
                <w:rFonts w:cs="Times New Roman"/>
              </w:rPr>
            </w:pPr>
            <w:r w:rsidRPr="00EC14DE">
              <w:rPr>
                <w:rFonts w:cs="Times New Roman"/>
                <w:b/>
                <w:bCs/>
              </w:rPr>
              <w:t xml:space="preserve">Tabella D </w:t>
            </w:r>
            <w:r w:rsidRPr="00EC14DE">
              <w:rPr>
                <w:rFonts w:cs="Times New Roman"/>
              </w:rPr>
              <w:t>- Articolo 33, commi 3 e 5 (Reclutamento straordinario psicologi)</w:t>
            </w:r>
          </w:p>
        </w:tc>
        <w:tc>
          <w:tcPr>
            <w:tcW w:w="30" w:type="dxa"/>
            <w:vAlign w:val="center"/>
            <w:hideMark/>
          </w:tcPr>
          <w:p w14:paraId="11F5B844" w14:textId="77777777" w:rsidR="00C068F8" w:rsidRPr="00EC14DE" w:rsidRDefault="00C068F8">
            <w:pPr>
              <w:rPr>
                <w:rFonts w:ascii="Calibri" w:hAnsi="Calibri" w:cs="Calibri"/>
              </w:rPr>
            </w:pPr>
            <w:r w:rsidRPr="00EC14DE">
              <w:t> </w:t>
            </w:r>
          </w:p>
        </w:tc>
        <w:tc>
          <w:tcPr>
            <w:tcW w:w="6" w:type="dxa"/>
            <w:vAlign w:val="center"/>
            <w:hideMark/>
          </w:tcPr>
          <w:p w14:paraId="1AAAB2D1" w14:textId="77777777" w:rsidR="00C068F8" w:rsidRPr="00EC14DE" w:rsidRDefault="00C068F8"/>
        </w:tc>
      </w:tr>
      <w:tr w:rsidR="0080514E" w:rsidRPr="00EC14DE" w14:paraId="2AF34849" w14:textId="77777777" w:rsidTr="00C068F8">
        <w:trPr>
          <w:trHeight w:val="345"/>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46C08EA8" w14:textId="77777777" w:rsidR="00C068F8" w:rsidRPr="00EC14DE" w:rsidRDefault="00C068F8">
            <w:pPr>
              <w:rPr>
                <w:rFonts w:cs="Times New Roman"/>
              </w:rPr>
            </w:pPr>
          </w:p>
        </w:tc>
        <w:tc>
          <w:tcPr>
            <w:tcW w:w="36" w:type="dxa"/>
            <w:noWrap/>
            <w:tcMar>
              <w:top w:w="0" w:type="dxa"/>
              <w:left w:w="70" w:type="dxa"/>
              <w:bottom w:w="0" w:type="dxa"/>
              <w:right w:w="70" w:type="dxa"/>
            </w:tcMar>
            <w:vAlign w:val="bottom"/>
            <w:hideMark/>
          </w:tcPr>
          <w:p w14:paraId="642DAF27" w14:textId="77777777" w:rsidR="00C068F8" w:rsidRPr="00EC14DE" w:rsidRDefault="00C068F8">
            <w:pPr>
              <w:rPr>
                <w:rFonts w:eastAsia="Times New Roman" w:cs="Times New Roman"/>
              </w:rPr>
            </w:pPr>
          </w:p>
        </w:tc>
        <w:tc>
          <w:tcPr>
            <w:tcW w:w="6" w:type="dxa"/>
            <w:vAlign w:val="center"/>
            <w:hideMark/>
          </w:tcPr>
          <w:p w14:paraId="47A54921" w14:textId="77777777" w:rsidR="00C068F8" w:rsidRPr="00EC14DE" w:rsidRDefault="00C068F8">
            <w:pPr>
              <w:rPr>
                <w:rFonts w:eastAsia="Times New Roman" w:cs="Times New Roman"/>
              </w:rPr>
            </w:pPr>
          </w:p>
        </w:tc>
      </w:tr>
      <w:tr w:rsidR="0080514E" w:rsidRPr="00EC14DE" w14:paraId="2E289B58"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28F56E" w14:textId="77777777" w:rsidR="00C068F8" w:rsidRPr="00EC14DE" w:rsidRDefault="00C068F8">
            <w:pPr>
              <w:jc w:val="center"/>
              <w:rPr>
                <w:rFonts w:cs="Times New Roman"/>
                <w:b/>
                <w:bCs/>
              </w:rPr>
            </w:pPr>
            <w:r w:rsidRPr="00EC14DE">
              <w:rPr>
                <w:rFonts w:cs="Times New Roman"/>
                <w:b/>
                <w:bCs/>
              </w:rPr>
              <w:t>REGIONE</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5C5FCC" w14:textId="77777777" w:rsidR="00C068F8" w:rsidRPr="00EC14DE" w:rsidRDefault="00C068F8">
            <w:pPr>
              <w:jc w:val="center"/>
              <w:rPr>
                <w:rFonts w:cs="Times New Roman"/>
                <w:b/>
                <w:bCs/>
              </w:rPr>
            </w:pPr>
            <w:r w:rsidRPr="00EC14DE">
              <w:rPr>
                <w:rFonts w:cs="Times New Roman"/>
                <w:b/>
                <w:bCs/>
              </w:rPr>
              <w:t>Anno 2021</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D3B8A0" w14:textId="77777777" w:rsidR="00C068F8" w:rsidRPr="00EC14DE" w:rsidRDefault="00C068F8">
            <w:pPr>
              <w:jc w:val="center"/>
              <w:rPr>
                <w:rFonts w:cs="Times New Roman"/>
                <w:b/>
                <w:bCs/>
              </w:rPr>
            </w:pPr>
            <w:r w:rsidRPr="00EC14DE">
              <w:rPr>
                <w:rFonts w:cs="Times New Roman"/>
                <w:b/>
                <w:bCs/>
              </w:rPr>
              <w:t>Anno 2022</w:t>
            </w:r>
          </w:p>
        </w:tc>
        <w:tc>
          <w:tcPr>
            <w:tcW w:w="36" w:type="dxa"/>
            <w:tcMar>
              <w:top w:w="0" w:type="dxa"/>
              <w:left w:w="70" w:type="dxa"/>
              <w:bottom w:w="0" w:type="dxa"/>
              <w:right w:w="70" w:type="dxa"/>
            </w:tcMar>
            <w:vAlign w:val="center"/>
            <w:hideMark/>
          </w:tcPr>
          <w:p w14:paraId="075EAFB7" w14:textId="77777777" w:rsidR="00C068F8" w:rsidRPr="00EC14DE" w:rsidRDefault="00C068F8">
            <w:pPr>
              <w:rPr>
                <w:rFonts w:cs="Times New Roman"/>
                <w:b/>
                <w:bCs/>
              </w:rPr>
            </w:pPr>
          </w:p>
        </w:tc>
        <w:tc>
          <w:tcPr>
            <w:tcW w:w="6" w:type="dxa"/>
            <w:vAlign w:val="center"/>
            <w:hideMark/>
          </w:tcPr>
          <w:p w14:paraId="5687ADEF" w14:textId="77777777" w:rsidR="00C068F8" w:rsidRPr="00EC14DE" w:rsidRDefault="00C068F8">
            <w:pPr>
              <w:rPr>
                <w:rFonts w:eastAsia="Times New Roman" w:cs="Times New Roman"/>
              </w:rPr>
            </w:pPr>
          </w:p>
        </w:tc>
      </w:tr>
      <w:tr w:rsidR="0080514E" w:rsidRPr="00EC14DE" w14:paraId="65B41486"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DC3990" w14:textId="77777777" w:rsidR="00C068F8" w:rsidRPr="00EC14DE" w:rsidRDefault="00C068F8">
            <w:pPr>
              <w:rPr>
                <w:rFonts w:cs="Times New Roman"/>
              </w:rPr>
            </w:pPr>
            <w:r w:rsidRPr="00EC14DE">
              <w:rPr>
                <w:rFonts w:cs="Times New Roman"/>
              </w:rPr>
              <w:t>PIEMONTE</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9924CD" w14:textId="77777777" w:rsidR="00C068F8" w:rsidRPr="00EC14DE" w:rsidRDefault="00C068F8">
            <w:pPr>
              <w:jc w:val="right"/>
              <w:rPr>
                <w:rFonts w:cs="Times New Roman"/>
              </w:rPr>
            </w:pPr>
            <w:r w:rsidRPr="00EC14DE">
              <w:rPr>
                <w:rFonts w:cs="Times New Roman"/>
              </w:rPr>
              <w:t>1.467.948</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259DFE" w14:textId="77777777" w:rsidR="00C068F8" w:rsidRPr="00EC14DE" w:rsidRDefault="00C068F8">
            <w:pPr>
              <w:jc w:val="right"/>
              <w:rPr>
                <w:rFonts w:cs="Times New Roman"/>
              </w:rPr>
            </w:pPr>
            <w:r w:rsidRPr="00EC14DE">
              <w:rPr>
                <w:rFonts w:cs="Times New Roman"/>
              </w:rPr>
              <w:t>1.468.988</w:t>
            </w:r>
          </w:p>
        </w:tc>
        <w:tc>
          <w:tcPr>
            <w:tcW w:w="36" w:type="dxa"/>
            <w:tcMar>
              <w:top w:w="0" w:type="dxa"/>
              <w:left w:w="70" w:type="dxa"/>
              <w:bottom w:w="0" w:type="dxa"/>
              <w:right w:w="70" w:type="dxa"/>
            </w:tcMar>
            <w:vAlign w:val="center"/>
            <w:hideMark/>
          </w:tcPr>
          <w:p w14:paraId="052B0B18" w14:textId="77777777" w:rsidR="00C068F8" w:rsidRPr="00EC14DE" w:rsidRDefault="00C068F8">
            <w:pPr>
              <w:rPr>
                <w:rFonts w:cs="Times New Roman"/>
              </w:rPr>
            </w:pPr>
          </w:p>
        </w:tc>
        <w:tc>
          <w:tcPr>
            <w:tcW w:w="6" w:type="dxa"/>
            <w:vAlign w:val="center"/>
            <w:hideMark/>
          </w:tcPr>
          <w:p w14:paraId="5F5547E5" w14:textId="77777777" w:rsidR="00C068F8" w:rsidRPr="00EC14DE" w:rsidRDefault="00C068F8">
            <w:pPr>
              <w:rPr>
                <w:rFonts w:eastAsia="Times New Roman" w:cs="Times New Roman"/>
              </w:rPr>
            </w:pPr>
          </w:p>
        </w:tc>
      </w:tr>
      <w:tr w:rsidR="0080514E" w:rsidRPr="00EC14DE" w14:paraId="32720DE4"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844DF1" w14:textId="77777777" w:rsidR="00C068F8" w:rsidRPr="00EC14DE" w:rsidRDefault="00C068F8">
            <w:pPr>
              <w:rPr>
                <w:rFonts w:cs="Times New Roman"/>
              </w:rPr>
            </w:pPr>
            <w:r w:rsidRPr="00EC14DE">
              <w:rPr>
                <w:rFonts w:cs="Times New Roman"/>
              </w:rPr>
              <w:t>V D'AOSTA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AEFAA8" w14:textId="77777777" w:rsidR="00C068F8" w:rsidRPr="00EC14DE" w:rsidRDefault="00C068F8">
            <w:pPr>
              <w:jc w:val="right"/>
              <w:rPr>
                <w:rFonts w:cs="Times New Roman"/>
              </w:rPr>
            </w:pPr>
            <w:r w:rsidRPr="00EC14DE">
              <w:rPr>
                <w:rFonts w:cs="Times New Roman"/>
              </w:rPr>
              <w:t>41.866</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D2CC48" w14:textId="77777777" w:rsidR="00C068F8" w:rsidRPr="00EC14DE" w:rsidRDefault="00C068F8">
            <w:pPr>
              <w:jc w:val="right"/>
              <w:rPr>
                <w:rFonts w:cs="Times New Roman"/>
              </w:rPr>
            </w:pPr>
            <w:r w:rsidRPr="00EC14DE">
              <w:rPr>
                <w:rFonts w:cs="Times New Roman"/>
              </w:rPr>
              <w:t>41.857</w:t>
            </w:r>
          </w:p>
        </w:tc>
        <w:tc>
          <w:tcPr>
            <w:tcW w:w="36" w:type="dxa"/>
            <w:tcMar>
              <w:top w:w="0" w:type="dxa"/>
              <w:left w:w="70" w:type="dxa"/>
              <w:bottom w:w="0" w:type="dxa"/>
              <w:right w:w="70" w:type="dxa"/>
            </w:tcMar>
            <w:vAlign w:val="center"/>
            <w:hideMark/>
          </w:tcPr>
          <w:p w14:paraId="1EF3CA6A" w14:textId="77777777" w:rsidR="00C068F8" w:rsidRPr="00EC14DE" w:rsidRDefault="00C068F8">
            <w:pPr>
              <w:rPr>
                <w:rFonts w:cs="Times New Roman"/>
              </w:rPr>
            </w:pPr>
          </w:p>
        </w:tc>
        <w:tc>
          <w:tcPr>
            <w:tcW w:w="6" w:type="dxa"/>
            <w:vAlign w:val="center"/>
            <w:hideMark/>
          </w:tcPr>
          <w:p w14:paraId="09A8F956" w14:textId="77777777" w:rsidR="00C068F8" w:rsidRPr="00EC14DE" w:rsidRDefault="00C068F8">
            <w:pPr>
              <w:rPr>
                <w:rFonts w:eastAsia="Times New Roman" w:cs="Times New Roman"/>
              </w:rPr>
            </w:pPr>
          </w:p>
        </w:tc>
      </w:tr>
      <w:tr w:rsidR="0080514E" w:rsidRPr="00EC14DE" w14:paraId="58B3DB95"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8BBFC4" w14:textId="77777777" w:rsidR="00C068F8" w:rsidRPr="00EC14DE" w:rsidRDefault="00C068F8">
            <w:pPr>
              <w:rPr>
                <w:rFonts w:cs="Times New Roman"/>
              </w:rPr>
            </w:pPr>
            <w:r w:rsidRPr="00EC14DE">
              <w:rPr>
                <w:rFonts w:cs="Times New Roman"/>
              </w:rPr>
              <w:t>LOMBARDIA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48972B" w14:textId="77777777" w:rsidR="00C068F8" w:rsidRPr="00EC14DE" w:rsidRDefault="00C068F8">
            <w:pPr>
              <w:jc w:val="right"/>
              <w:rPr>
                <w:rFonts w:cs="Times New Roman"/>
              </w:rPr>
            </w:pPr>
            <w:r w:rsidRPr="00EC14DE">
              <w:rPr>
                <w:rFonts w:cs="Times New Roman"/>
              </w:rPr>
              <w:t>3.317.527</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DC4C14" w14:textId="77777777" w:rsidR="00C068F8" w:rsidRPr="00EC14DE" w:rsidRDefault="00C068F8">
            <w:pPr>
              <w:jc w:val="right"/>
              <w:rPr>
                <w:rFonts w:cs="Times New Roman"/>
              </w:rPr>
            </w:pPr>
            <w:r w:rsidRPr="00EC14DE">
              <w:rPr>
                <w:rFonts w:cs="Times New Roman"/>
              </w:rPr>
              <w:t>3.344.590</w:t>
            </w:r>
          </w:p>
        </w:tc>
        <w:tc>
          <w:tcPr>
            <w:tcW w:w="36" w:type="dxa"/>
            <w:tcMar>
              <w:top w:w="0" w:type="dxa"/>
              <w:left w:w="70" w:type="dxa"/>
              <w:bottom w:w="0" w:type="dxa"/>
              <w:right w:w="70" w:type="dxa"/>
            </w:tcMar>
            <w:vAlign w:val="center"/>
            <w:hideMark/>
          </w:tcPr>
          <w:p w14:paraId="055F4DB2" w14:textId="77777777" w:rsidR="00C068F8" w:rsidRPr="00EC14DE" w:rsidRDefault="00C068F8">
            <w:pPr>
              <w:rPr>
                <w:rFonts w:cs="Times New Roman"/>
              </w:rPr>
            </w:pPr>
          </w:p>
        </w:tc>
        <w:tc>
          <w:tcPr>
            <w:tcW w:w="6" w:type="dxa"/>
            <w:vAlign w:val="center"/>
            <w:hideMark/>
          </w:tcPr>
          <w:p w14:paraId="34346282" w14:textId="77777777" w:rsidR="00C068F8" w:rsidRPr="00EC14DE" w:rsidRDefault="00C068F8">
            <w:pPr>
              <w:rPr>
                <w:rFonts w:eastAsia="Times New Roman" w:cs="Times New Roman"/>
              </w:rPr>
            </w:pPr>
          </w:p>
        </w:tc>
      </w:tr>
      <w:tr w:rsidR="0080514E" w:rsidRPr="00EC14DE" w14:paraId="466508BF"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FBD27A" w14:textId="77777777" w:rsidR="00C068F8" w:rsidRPr="00EC14DE" w:rsidRDefault="00C068F8">
            <w:pPr>
              <w:rPr>
                <w:rFonts w:cs="Times New Roman"/>
              </w:rPr>
            </w:pPr>
            <w:r w:rsidRPr="00EC14DE">
              <w:rPr>
                <w:rFonts w:cs="Times New Roman"/>
              </w:rPr>
              <w:t>BOLZANO</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C642A7" w14:textId="77777777" w:rsidR="00C068F8" w:rsidRPr="00EC14DE" w:rsidRDefault="00C068F8">
            <w:pPr>
              <w:jc w:val="right"/>
              <w:rPr>
                <w:rFonts w:cs="Times New Roman"/>
              </w:rPr>
            </w:pPr>
            <w:r w:rsidRPr="00EC14DE">
              <w:rPr>
                <w:rFonts w:cs="Times New Roman"/>
              </w:rPr>
              <w:t>171.057</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F7BA37" w14:textId="77777777" w:rsidR="00C068F8" w:rsidRPr="00EC14DE" w:rsidRDefault="00C068F8">
            <w:pPr>
              <w:jc w:val="right"/>
              <w:rPr>
                <w:rFonts w:cs="Times New Roman"/>
              </w:rPr>
            </w:pPr>
            <w:r w:rsidRPr="00EC14DE">
              <w:rPr>
                <w:rFonts w:cs="Times New Roman"/>
              </w:rPr>
              <w:t>173.408</w:t>
            </w:r>
          </w:p>
        </w:tc>
        <w:tc>
          <w:tcPr>
            <w:tcW w:w="36" w:type="dxa"/>
            <w:tcMar>
              <w:top w:w="0" w:type="dxa"/>
              <w:left w:w="70" w:type="dxa"/>
              <w:bottom w:w="0" w:type="dxa"/>
              <w:right w:w="70" w:type="dxa"/>
            </w:tcMar>
            <w:vAlign w:val="center"/>
            <w:hideMark/>
          </w:tcPr>
          <w:p w14:paraId="37AF96A4" w14:textId="77777777" w:rsidR="00C068F8" w:rsidRPr="00EC14DE" w:rsidRDefault="00C068F8">
            <w:pPr>
              <w:rPr>
                <w:rFonts w:cs="Times New Roman"/>
              </w:rPr>
            </w:pPr>
          </w:p>
        </w:tc>
        <w:tc>
          <w:tcPr>
            <w:tcW w:w="6" w:type="dxa"/>
            <w:vAlign w:val="center"/>
            <w:hideMark/>
          </w:tcPr>
          <w:p w14:paraId="6632D011" w14:textId="77777777" w:rsidR="00C068F8" w:rsidRPr="00EC14DE" w:rsidRDefault="00C068F8">
            <w:pPr>
              <w:rPr>
                <w:rFonts w:eastAsia="Times New Roman" w:cs="Times New Roman"/>
              </w:rPr>
            </w:pPr>
          </w:p>
        </w:tc>
      </w:tr>
      <w:tr w:rsidR="0080514E" w:rsidRPr="00EC14DE" w14:paraId="2276C909"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0D68CC" w14:textId="77777777" w:rsidR="00C068F8" w:rsidRPr="00EC14DE" w:rsidRDefault="00C068F8">
            <w:pPr>
              <w:rPr>
                <w:rFonts w:cs="Times New Roman"/>
              </w:rPr>
            </w:pPr>
            <w:r w:rsidRPr="00EC14DE">
              <w:rPr>
                <w:rFonts w:cs="Times New Roman"/>
              </w:rPr>
              <w:t>TRENTO</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A12AD" w14:textId="77777777" w:rsidR="00C068F8" w:rsidRPr="00EC14DE" w:rsidRDefault="00C068F8">
            <w:pPr>
              <w:jc w:val="right"/>
              <w:rPr>
                <w:rFonts w:cs="Times New Roman"/>
              </w:rPr>
            </w:pPr>
            <w:r w:rsidRPr="00EC14DE">
              <w:rPr>
                <w:rFonts w:cs="Times New Roman"/>
              </w:rPr>
              <w:t>177.441</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2B7C5F" w14:textId="77777777" w:rsidR="00C068F8" w:rsidRPr="00EC14DE" w:rsidRDefault="00C068F8">
            <w:pPr>
              <w:jc w:val="right"/>
              <w:rPr>
                <w:rFonts w:cs="Times New Roman"/>
              </w:rPr>
            </w:pPr>
            <w:r w:rsidRPr="00EC14DE">
              <w:rPr>
                <w:rFonts w:cs="Times New Roman"/>
              </w:rPr>
              <w:t>181.381</w:t>
            </w:r>
          </w:p>
        </w:tc>
        <w:tc>
          <w:tcPr>
            <w:tcW w:w="36" w:type="dxa"/>
            <w:tcMar>
              <w:top w:w="0" w:type="dxa"/>
              <w:left w:w="70" w:type="dxa"/>
              <w:bottom w:w="0" w:type="dxa"/>
              <w:right w:w="70" w:type="dxa"/>
            </w:tcMar>
            <w:vAlign w:val="center"/>
            <w:hideMark/>
          </w:tcPr>
          <w:p w14:paraId="534F165D" w14:textId="77777777" w:rsidR="00C068F8" w:rsidRPr="00EC14DE" w:rsidRDefault="00C068F8">
            <w:pPr>
              <w:rPr>
                <w:rFonts w:cs="Times New Roman"/>
              </w:rPr>
            </w:pPr>
          </w:p>
        </w:tc>
        <w:tc>
          <w:tcPr>
            <w:tcW w:w="6" w:type="dxa"/>
            <w:vAlign w:val="center"/>
            <w:hideMark/>
          </w:tcPr>
          <w:p w14:paraId="1C19BD10" w14:textId="77777777" w:rsidR="00C068F8" w:rsidRPr="00EC14DE" w:rsidRDefault="00C068F8">
            <w:pPr>
              <w:rPr>
                <w:rFonts w:eastAsia="Times New Roman" w:cs="Times New Roman"/>
              </w:rPr>
            </w:pPr>
          </w:p>
        </w:tc>
      </w:tr>
      <w:tr w:rsidR="0080514E" w:rsidRPr="00EC14DE" w14:paraId="3505AF60"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0B16EA" w14:textId="77777777" w:rsidR="00C068F8" w:rsidRPr="00EC14DE" w:rsidRDefault="00C068F8">
            <w:pPr>
              <w:rPr>
                <w:rFonts w:cs="Times New Roman"/>
              </w:rPr>
            </w:pPr>
            <w:r w:rsidRPr="00EC14DE">
              <w:rPr>
                <w:rFonts w:cs="Times New Roman"/>
              </w:rPr>
              <w:t>VENETO</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7AF523" w14:textId="77777777" w:rsidR="00C068F8" w:rsidRPr="00EC14DE" w:rsidRDefault="00C068F8">
            <w:pPr>
              <w:jc w:val="right"/>
              <w:rPr>
                <w:rFonts w:cs="Times New Roman"/>
              </w:rPr>
            </w:pPr>
            <w:r w:rsidRPr="00EC14DE">
              <w:rPr>
                <w:rFonts w:cs="Times New Roman"/>
              </w:rPr>
              <w:t>1.622.827</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1B094C" w14:textId="77777777" w:rsidR="00C068F8" w:rsidRPr="00EC14DE" w:rsidRDefault="00C068F8">
            <w:pPr>
              <w:jc w:val="right"/>
              <w:rPr>
                <w:rFonts w:cs="Times New Roman"/>
              </w:rPr>
            </w:pPr>
            <w:r w:rsidRPr="00EC14DE">
              <w:rPr>
                <w:rFonts w:cs="Times New Roman"/>
              </w:rPr>
              <w:t>1.634.424</w:t>
            </w:r>
          </w:p>
        </w:tc>
        <w:tc>
          <w:tcPr>
            <w:tcW w:w="36" w:type="dxa"/>
            <w:tcMar>
              <w:top w:w="0" w:type="dxa"/>
              <w:left w:w="70" w:type="dxa"/>
              <w:bottom w:w="0" w:type="dxa"/>
              <w:right w:w="70" w:type="dxa"/>
            </w:tcMar>
            <w:vAlign w:val="center"/>
            <w:hideMark/>
          </w:tcPr>
          <w:p w14:paraId="3E406A52" w14:textId="77777777" w:rsidR="00C068F8" w:rsidRPr="00EC14DE" w:rsidRDefault="00C068F8">
            <w:pPr>
              <w:rPr>
                <w:rFonts w:cs="Times New Roman"/>
              </w:rPr>
            </w:pPr>
          </w:p>
        </w:tc>
        <w:tc>
          <w:tcPr>
            <w:tcW w:w="6" w:type="dxa"/>
            <w:vAlign w:val="center"/>
            <w:hideMark/>
          </w:tcPr>
          <w:p w14:paraId="483BB118" w14:textId="77777777" w:rsidR="00C068F8" w:rsidRPr="00EC14DE" w:rsidRDefault="00C068F8">
            <w:pPr>
              <w:rPr>
                <w:rFonts w:eastAsia="Times New Roman" w:cs="Times New Roman"/>
              </w:rPr>
            </w:pPr>
          </w:p>
        </w:tc>
      </w:tr>
      <w:tr w:rsidR="0080514E" w:rsidRPr="00EC14DE" w14:paraId="24CFCBDA"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625BE8E" w14:textId="77777777" w:rsidR="00C068F8" w:rsidRPr="00EC14DE" w:rsidRDefault="00C068F8">
            <w:pPr>
              <w:rPr>
                <w:rFonts w:cs="Times New Roman"/>
              </w:rPr>
            </w:pPr>
            <w:r w:rsidRPr="00EC14DE">
              <w:rPr>
                <w:rFonts w:cs="Times New Roman"/>
              </w:rPr>
              <w:t>FRIULI</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0C2EC4" w14:textId="77777777" w:rsidR="00C068F8" w:rsidRPr="00EC14DE" w:rsidRDefault="00C068F8">
            <w:pPr>
              <w:jc w:val="right"/>
              <w:rPr>
                <w:rFonts w:cs="Times New Roman"/>
              </w:rPr>
            </w:pPr>
            <w:r w:rsidRPr="00EC14DE">
              <w:rPr>
                <w:rFonts w:cs="Times New Roman"/>
              </w:rPr>
              <w:t>411.483</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6B0599" w14:textId="77777777" w:rsidR="00C068F8" w:rsidRPr="00EC14DE" w:rsidRDefault="00C068F8">
            <w:pPr>
              <w:jc w:val="right"/>
              <w:rPr>
                <w:rFonts w:cs="Times New Roman"/>
              </w:rPr>
            </w:pPr>
            <w:r w:rsidRPr="00EC14DE">
              <w:rPr>
                <w:rFonts w:cs="Times New Roman"/>
              </w:rPr>
              <w:t>412.593</w:t>
            </w:r>
          </w:p>
        </w:tc>
        <w:tc>
          <w:tcPr>
            <w:tcW w:w="36" w:type="dxa"/>
            <w:tcMar>
              <w:top w:w="0" w:type="dxa"/>
              <w:left w:w="70" w:type="dxa"/>
              <w:bottom w:w="0" w:type="dxa"/>
              <w:right w:w="70" w:type="dxa"/>
            </w:tcMar>
            <w:vAlign w:val="center"/>
            <w:hideMark/>
          </w:tcPr>
          <w:p w14:paraId="43C283BE" w14:textId="77777777" w:rsidR="00C068F8" w:rsidRPr="00EC14DE" w:rsidRDefault="00C068F8">
            <w:pPr>
              <w:rPr>
                <w:rFonts w:cs="Times New Roman"/>
              </w:rPr>
            </w:pPr>
          </w:p>
        </w:tc>
        <w:tc>
          <w:tcPr>
            <w:tcW w:w="6" w:type="dxa"/>
            <w:vAlign w:val="center"/>
            <w:hideMark/>
          </w:tcPr>
          <w:p w14:paraId="1844DC9A" w14:textId="77777777" w:rsidR="00C068F8" w:rsidRPr="00EC14DE" w:rsidRDefault="00C068F8">
            <w:pPr>
              <w:rPr>
                <w:rFonts w:eastAsia="Times New Roman" w:cs="Times New Roman"/>
              </w:rPr>
            </w:pPr>
          </w:p>
        </w:tc>
      </w:tr>
      <w:tr w:rsidR="0080514E" w:rsidRPr="00EC14DE" w14:paraId="65FBB3DF"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CC1DBF" w14:textId="77777777" w:rsidR="00C068F8" w:rsidRPr="00EC14DE" w:rsidRDefault="00C068F8">
            <w:pPr>
              <w:rPr>
                <w:rFonts w:cs="Times New Roman"/>
              </w:rPr>
            </w:pPr>
            <w:r w:rsidRPr="00EC14DE">
              <w:rPr>
                <w:rFonts w:cs="Times New Roman"/>
              </w:rPr>
              <w:t>LIGURIA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9E0106" w14:textId="77777777" w:rsidR="00C068F8" w:rsidRPr="00EC14DE" w:rsidRDefault="00C068F8">
            <w:pPr>
              <w:jc w:val="right"/>
              <w:rPr>
                <w:rFonts w:cs="Times New Roman"/>
              </w:rPr>
            </w:pPr>
            <w:r w:rsidRPr="00EC14DE">
              <w:rPr>
                <w:rFonts w:cs="Times New Roman"/>
              </w:rPr>
              <w:t>534.331</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9A3ECF" w14:textId="77777777" w:rsidR="00C068F8" w:rsidRPr="00EC14DE" w:rsidRDefault="00C068F8">
            <w:pPr>
              <w:jc w:val="right"/>
              <w:rPr>
                <w:rFonts w:cs="Times New Roman"/>
              </w:rPr>
            </w:pPr>
            <w:r w:rsidRPr="00EC14DE">
              <w:rPr>
                <w:rFonts w:cs="Times New Roman"/>
              </w:rPr>
              <w:t>532.184</w:t>
            </w:r>
          </w:p>
        </w:tc>
        <w:tc>
          <w:tcPr>
            <w:tcW w:w="36" w:type="dxa"/>
            <w:tcMar>
              <w:top w:w="0" w:type="dxa"/>
              <w:left w:w="70" w:type="dxa"/>
              <w:bottom w:w="0" w:type="dxa"/>
              <w:right w:w="70" w:type="dxa"/>
            </w:tcMar>
            <w:vAlign w:val="center"/>
            <w:hideMark/>
          </w:tcPr>
          <w:p w14:paraId="7368804F" w14:textId="77777777" w:rsidR="00C068F8" w:rsidRPr="00EC14DE" w:rsidRDefault="00C068F8">
            <w:pPr>
              <w:rPr>
                <w:rFonts w:cs="Times New Roman"/>
              </w:rPr>
            </w:pPr>
          </w:p>
        </w:tc>
        <w:tc>
          <w:tcPr>
            <w:tcW w:w="6" w:type="dxa"/>
            <w:vAlign w:val="center"/>
            <w:hideMark/>
          </w:tcPr>
          <w:p w14:paraId="0B0F534F" w14:textId="77777777" w:rsidR="00C068F8" w:rsidRPr="00EC14DE" w:rsidRDefault="00C068F8">
            <w:pPr>
              <w:rPr>
                <w:rFonts w:eastAsia="Times New Roman" w:cs="Times New Roman"/>
              </w:rPr>
            </w:pPr>
          </w:p>
        </w:tc>
      </w:tr>
      <w:tr w:rsidR="0080514E" w:rsidRPr="00EC14DE" w14:paraId="58A7EB33"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30585E" w14:textId="77777777" w:rsidR="00C068F8" w:rsidRPr="00EC14DE" w:rsidRDefault="00C068F8">
            <w:pPr>
              <w:rPr>
                <w:rFonts w:cs="Times New Roman"/>
              </w:rPr>
            </w:pPr>
            <w:r w:rsidRPr="00EC14DE">
              <w:rPr>
                <w:rFonts w:cs="Times New Roman"/>
              </w:rPr>
              <w:t>E ROMAGNA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BAC645" w14:textId="77777777" w:rsidR="00C068F8" w:rsidRPr="00EC14DE" w:rsidRDefault="00C068F8">
            <w:pPr>
              <w:jc w:val="right"/>
              <w:rPr>
                <w:rFonts w:cs="Times New Roman"/>
              </w:rPr>
            </w:pPr>
            <w:r w:rsidRPr="00EC14DE">
              <w:rPr>
                <w:rFonts w:cs="Times New Roman"/>
              </w:rPr>
              <w:t>1.486.514</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5520C8" w14:textId="77777777" w:rsidR="00C068F8" w:rsidRPr="00EC14DE" w:rsidRDefault="00C068F8">
            <w:pPr>
              <w:jc w:val="right"/>
              <w:rPr>
                <w:rFonts w:cs="Times New Roman"/>
              </w:rPr>
            </w:pPr>
            <w:r w:rsidRPr="00EC14DE">
              <w:rPr>
                <w:rFonts w:cs="Times New Roman"/>
              </w:rPr>
              <w:t>1.504.866</w:t>
            </w:r>
          </w:p>
        </w:tc>
        <w:tc>
          <w:tcPr>
            <w:tcW w:w="36" w:type="dxa"/>
            <w:tcMar>
              <w:top w:w="0" w:type="dxa"/>
              <w:left w:w="70" w:type="dxa"/>
              <w:bottom w:w="0" w:type="dxa"/>
              <w:right w:w="70" w:type="dxa"/>
            </w:tcMar>
            <w:vAlign w:val="center"/>
            <w:hideMark/>
          </w:tcPr>
          <w:p w14:paraId="09D758B9" w14:textId="77777777" w:rsidR="00C068F8" w:rsidRPr="00EC14DE" w:rsidRDefault="00C068F8">
            <w:pPr>
              <w:rPr>
                <w:rFonts w:cs="Times New Roman"/>
              </w:rPr>
            </w:pPr>
          </w:p>
        </w:tc>
        <w:tc>
          <w:tcPr>
            <w:tcW w:w="6" w:type="dxa"/>
            <w:vAlign w:val="center"/>
            <w:hideMark/>
          </w:tcPr>
          <w:p w14:paraId="2573704C" w14:textId="77777777" w:rsidR="00C068F8" w:rsidRPr="00EC14DE" w:rsidRDefault="00C068F8">
            <w:pPr>
              <w:rPr>
                <w:rFonts w:eastAsia="Times New Roman" w:cs="Times New Roman"/>
              </w:rPr>
            </w:pPr>
          </w:p>
        </w:tc>
      </w:tr>
      <w:tr w:rsidR="0080514E" w:rsidRPr="00EC14DE" w14:paraId="597A03C9"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F6EA54" w14:textId="77777777" w:rsidR="00C068F8" w:rsidRPr="00EC14DE" w:rsidRDefault="00C068F8">
            <w:pPr>
              <w:rPr>
                <w:rFonts w:cs="Times New Roman"/>
              </w:rPr>
            </w:pPr>
            <w:r w:rsidRPr="00EC14DE">
              <w:rPr>
                <w:rFonts w:cs="Times New Roman"/>
              </w:rPr>
              <w:t>TOSCANA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887A72" w14:textId="77777777" w:rsidR="00C068F8" w:rsidRPr="00EC14DE" w:rsidRDefault="00C068F8">
            <w:pPr>
              <w:jc w:val="right"/>
              <w:rPr>
                <w:rFonts w:cs="Times New Roman"/>
              </w:rPr>
            </w:pPr>
            <w:r w:rsidRPr="00EC14DE">
              <w:rPr>
                <w:rFonts w:cs="Times New Roman"/>
              </w:rPr>
              <w:t>1.255.520</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CE50C3" w14:textId="77777777" w:rsidR="00C068F8" w:rsidRPr="00EC14DE" w:rsidRDefault="00C068F8">
            <w:pPr>
              <w:jc w:val="right"/>
              <w:rPr>
                <w:rFonts w:cs="Times New Roman"/>
              </w:rPr>
            </w:pPr>
            <w:r w:rsidRPr="00EC14DE">
              <w:rPr>
                <w:rFonts w:cs="Times New Roman"/>
              </w:rPr>
              <w:t>1.257.709</w:t>
            </w:r>
          </w:p>
        </w:tc>
        <w:tc>
          <w:tcPr>
            <w:tcW w:w="36" w:type="dxa"/>
            <w:tcMar>
              <w:top w:w="0" w:type="dxa"/>
              <w:left w:w="70" w:type="dxa"/>
              <w:bottom w:w="0" w:type="dxa"/>
              <w:right w:w="70" w:type="dxa"/>
            </w:tcMar>
            <w:vAlign w:val="center"/>
            <w:hideMark/>
          </w:tcPr>
          <w:p w14:paraId="7AFD3183" w14:textId="77777777" w:rsidR="00C068F8" w:rsidRPr="00EC14DE" w:rsidRDefault="00C068F8">
            <w:pPr>
              <w:rPr>
                <w:rFonts w:cs="Times New Roman"/>
              </w:rPr>
            </w:pPr>
          </w:p>
        </w:tc>
        <w:tc>
          <w:tcPr>
            <w:tcW w:w="6" w:type="dxa"/>
            <w:vAlign w:val="center"/>
            <w:hideMark/>
          </w:tcPr>
          <w:p w14:paraId="5E61655A" w14:textId="77777777" w:rsidR="00C068F8" w:rsidRPr="00EC14DE" w:rsidRDefault="00C068F8">
            <w:pPr>
              <w:rPr>
                <w:rFonts w:eastAsia="Times New Roman" w:cs="Times New Roman"/>
              </w:rPr>
            </w:pPr>
          </w:p>
        </w:tc>
      </w:tr>
      <w:tr w:rsidR="0080514E" w:rsidRPr="00EC14DE" w14:paraId="778960AE"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F02AE9" w14:textId="77777777" w:rsidR="00C068F8" w:rsidRPr="00EC14DE" w:rsidRDefault="00C068F8">
            <w:pPr>
              <w:rPr>
                <w:rFonts w:cs="Times New Roman"/>
              </w:rPr>
            </w:pPr>
            <w:r w:rsidRPr="00EC14DE">
              <w:rPr>
                <w:rFonts w:cs="Times New Roman"/>
              </w:rPr>
              <w:t>UMBRIA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AAEDE8" w14:textId="77777777" w:rsidR="00C068F8" w:rsidRPr="00EC14DE" w:rsidRDefault="00C068F8">
            <w:pPr>
              <w:jc w:val="right"/>
              <w:rPr>
                <w:rFonts w:cs="Times New Roman"/>
              </w:rPr>
            </w:pPr>
            <w:r w:rsidRPr="00EC14DE">
              <w:rPr>
                <w:rFonts w:cs="Times New Roman"/>
              </w:rPr>
              <w:t>296.992</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75BF23" w14:textId="77777777" w:rsidR="00C068F8" w:rsidRPr="00EC14DE" w:rsidRDefault="00C068F8">
            <w:pPr>
              <w:jc w:val="right"/>
              <w:rPr>
                <w:rFonts w:cs="Times New Roman"/>
              </w:rPr>
            </w:pPr>
            <w:r w:rsidRPr="00EC14DE">
              <w:rPr>
                <w:rFonts w:cs="Times New Roman"/>
              </w:rPr>
              <w:t>296.987</w:t>
            </w:r>
          </w:p>
        </w:tc>
        <w:tc>
          <w:tcPr>
            <w:tcW w:w="36" w:type="dxa"/>
            <w:tcMar>
              <w:top w:w="0" w:type="dxa"/>
              <w:left w:w="70" w:type="dxa"/>
              <w:bottom w:w="0" w:type="dxa"/>
              <w:right w:w="70" w:type="dxa"/>
            </w:tcMar>
            <w:vAlign w:val="center"/>
            <w:hideMark/>
          </w:tcPr>
          <w:p w14:paraId="08328440" w14:textId="77777777" w:rsidR="00C068F8" w:rsidRPr="00EC14DE" w:rsidRDefault="00C068F8">
            <w:pPr>
              <w:rPr>
                <w:rFonts w:cs="Times New Roman"/>
              </w:rPr>
            </w:pPr>
          </w:p>
        </w:tc>
        <w:tc>
          <w:tcPr>
            <w:tcW w:w="6" w:type="dxa"/>
            <w:vAlign w:val="center"/>
            <w:hideMark/>
          </w:tcPr>
          <w:p w14:paraId="15083942" w14:textId="77777777" w:rsidR="00C068F8" w:rsidRPr="00EC14DE" w:rsidRDefault="00C068F8">
            <w:pPr>
              <w:rPr>
                <w:rFonts w:eastAsia="Times New Roman" w:cs="Times New Roman"/>
              </w:rPr>
            </w:pPr>
          </w:p>
        </w:tc>
      </w:tr>
      <w:tr w:rsidR="0080514E" w:rsidRPr="00EC14DE" w14:paraId="61CCB97A"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4EECE4" w14:textId="77777777" w:rsidR="00C068F8" w:rsidRPr="00EC14DE" w:rsidRDefault="00C068F8">
            <w:pPr>
              <w:rPr>
                <w:rFonts w:cs="Times New Roman"/>
              </w:rPr>
            </w:pPr>
            <w:r w:rsidRPr="00EC14DE">
              <w:rPr>
                <w:rFonts w:cs="Times New Roman"/>
              </w:rPr>
              <w:t>MARCHE</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E2E66F" w14:textId="77777777" w:rsidR="00C068F8" w:rsidRPr="00EC14DE" w:rsidRDefault="00C068F8">
            <w:pPr>
              <w:jc w:val="right"/>
              <w:rPr>
                <w:rFonts w:cs="Times New Roman"/>
              </w:rPr>
            </w:pPr>
            <w:r w:rsidRPr="00EC14DE">
              <w:rPr>
                <w:rFonts w:cs="Times New Roman"/>
              </w:rPr>
              <w:t>510.926</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AEF0B0" w14:textId="77777777" w:rsidR="00C068F8" w:rsidRPr="00EC14DE" w:rsidRDefault="00C068F8">
            <w:pPr>
              <w:jc w:val="right"/>
              <w:rPr>
                <w:rFonts w:cs="Times New Roman"/>
              </w:rPr>
            </w:pPr>
            <w:r w:rsidRPr="00EC14DE">
              <w:rPr>
                <w:rFonts w:cs="Times New Roman"/>
              </w:rPr>
              <w:t>512.252</w:t>
            </w:r>
          </w:p>
        </w:tc>
        <w:tc>
          <w:tcPr>
            <w:tcW w:w="36" w:type="dxa"/>
            <w:tcMar>
              <w:top w:w="0" w:type="dxa"/>
              <w:left w:w="70" w:type="dxa"/>
              <w:bottom w:w="0" w:type="dxa"/>
              <w:right w:w="70" w:type="dxa"/>
            </w:tcMar>
            <w:vAlign w:val="center"/>
            <w:hideMark/>
          </w:tcPr>
          <w:p w14:paraId="1B546AE7" w14:textId="77777777" w:rsidR="00C068F8" w:rsidRPr="00EC14DE" w:rsidRDefault="00C068F8">
            <w:pPr>
              <w:rPr>
                <w:rFonts w:cs="Times New Roman"/>
              </w:rPr>
            </w:pPr>
          </w:p>
        </w:tc>
        <w:tc>
          <w:tcPr>
            <w:tcW w:w="6" w:type="dxa"/>
            <w:vAlign w:val="center"/>
            <w:hideMark/>
          </w:tcPr>
          <w:p w14:paraId="1095E707" w14:textId="77777777" w:rsidR="00C068F8" w:rsidRPr="00EC14DE" w:rsidRDefault="00C068F8">
            <w:pPr>
              <w:rPr>
                <w:rFonts w:eastAsia="Times New Roman" w:cs="Times New Roman"/>
              </w:rPr>
            </w:pPr>
          </w:p>
        </w:tc>
      </w:tr>
      <w:tr w:rsidR="0080514E" w:rsidRPr="00EC14DE" w14:paraId="2401A98C"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5F47788" w14:textId="77777777" w:rsidR="00C068F8" w:rsidRPr="00EC14DE" w:rsidRDefault="00C068F8">
            <w:pPr>
              <w:rPr>
                <w:rFonts w:cs="Times New Roman"/>
              </w:rPr>
            </w:pPr>
            <w:r w:rsidRPr="00EC14DE">
              <w:rPr>
                <w:rFonts w:cs="Times New Roman"/>
              </w:rPr>
              <w:t>LAZIO</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9A59B3" w14:textId="77777777" w:rsidR="00C068F8" w:rsidRPr="00EC14DE" w:rsidRDefault="00C068F8">
            <w:pPr>
              <w:jc w:val="right"/>
              <w:rPr>
                <w:rFonts w:cs="Times New Roman"/>
              </w:rPr>
            </w:pPr>
            <w:r w:rsidRPr="00EC14DE">
              <w:rPr>
                <w:rFonts w:cs="Times New Roman"/>
              </w:rPr>
              <w:t>1.929.092</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6FF1D5" w14:textId="77777777" w:rsidR="00C068F8" w:rsidRPr="00EC14DE" w:rsidRDefault="00C068F8">
            <w:pPr>
              <w:jc w:val="right"/>
              <w:rPr>
                <w:rFonts w:cs="Times New Roman"/>
              </w:rPr>
            </w:pPr>
            <w:r w:rsidRPr="00EC14DE">
              <w:rPr>
                <w:rFonts w:cs="Times New Roman"/>
              </w:rPr>
              <w:t>1.911.479</w:t>
            </w:r>
          </w:p>
        </w:tc>
        <w:tc>
          <w:tcPr>
            <w:tcW w:w="36" w:type="dxa"/>
            <w:tcMar>
              <w:top w:w="0" w:type="dxa"/>
              <w:left w:w="70" w:type="dxa"/>
              <w:bottom w:w="0" w:type="dxa"/>
              <w:right w:w="70" w:type="dxa"/>
            </w:tcMar>
            <w:vAlign w:val="center"/>
            <w:hideMark/>
          </w:tcPr>
          <w:p w14:paraId="2B9D4EFF" w14:textId="77777777" w:rsidR="00C068F8" w:rsidRPr="00EC14DE" w:rsidRDefault="00C068F8">
            <w:pPr>
              <w:rPr>
                <w:rFonts w:cs="Times New Roman"/>
              </w:rPr>
            </w:pPr>
          </w:p>
        </w:tc>
        <w:tc>
          <w:tcPr>
            <w:tcW w:w="6" w:type="dxa"/>
            <w:vAlign w:val="center"/>
            <w:hideMark/>
          </w:tcPr>
          <w:p w14:paraId="4CEC6593" w14:textId="77777777" w:rsidR="00C068F8" w:rsidRPr="00EC14DE" w:rsidRDefault="00C068F8">
            <w:pPr>
              <w:rPr>
                <w:rFonts w:eastAsia="Times New Roman" w:cs="Times New Roman"/>
              </w:rPr>
            </w:pPr>
          </w:p>
        </w:tc>
      </w:tr>
      <w:tr w:rsidR="0080514E" w:rsidRPr="00EC14DE" w14:paraId="5F382069"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D21DF9" w14:textId="77777777" w:rsidR="00C068F8" w:rsidRPr="00EC14DE" w:rsidRDefault="00C068F8">
            <w:pPr>
              <w:rPr>
                <w:rFonts w:cs="Times New Roman"/>
              </w:rPr>
            </w:pPr>
            <w:r w:rsidRPr="00EC14DE">
              <w:rPr>
                <w:rFonts w:cs="Times New Roman"/>
              </w:rPr>
              <w:t>ABRUZZO</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D4C98E" w14:textId="77777777" w:rsidR="00C068F8" w:rsidRPr="00EC14DE" w:rsidRDefault="00C068F8">
            <w:pPr>
              <w:jc w:val="right"/>
              <w:rPr>
                <w:rFonts w:cs="Times New Roman"/>
              </w:rPr>
            </w:pPr>
            <w:r w:rsidRPr="00EC14DE">
              <w:rPr>
                <w:rFonts w:cs="Times New Roman"/>
              </w:rPr>
              <w:t>436.471</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44F5DF" w14:textId="77777777" w:rsidR="00C068F8" w:rsidRPr="00EC14DE" w:rsidRDefault="00C068F8">
            <w:pPr>
              <w:jc w:val="right"/>
              <w:rPr>
                <w:rFonts w:cs="Times New Roman"/>
              </w:rPr>
            </w:pPr>
            <w:r w:rsidRPr="00EC14DE">
              <w:rPr>
                <w:rFonts w:cs="Times New Roman"/>
              </w:rPr>
              <w:t>436.511</w:t>
            </w:r>
          </w:p>
        </w:tc>
        <w:tc>
          <w:tcPr>
            <w:tcW w:w="36" w:type="dxa"/>
            <w:tcMar>
              <w:top w:w="0" w:type="dxa"/>
              <w:left w:w="70" w:type="dxa"/>
              <w:bottom w:w="0" w:type="dxa"/>
              <w:right w:w="70" w:type="dxa"/>
            </w:tcMar>
            <w:vAlign w:val="center"/>
            <w:hideMark/>
          </w:tcPr>
          <w:p w14:paraId="6B994912" w14:textId="77777777" w:rsidR="00C068F8" w:rsidRPr="00EC14DE" w:rsidRDefault="00C068F8">
            <w:pPr>
              <w:rPr>
                <w:rFonts w:cs="Times New Roman"/>
              </w:rPr>
            </w:pPr>
          </w:p>
        </w:tc>
        <w:tc>
          <w:tcPr>
            <w:tcW w:w="6" w:type="dxa"/>
            <w:vAlign w:val="center"/>
            <w:hideMark/>
          </w:tcPr>
          <w:p w14:paraId="7295284E" w14:textId="77777777" w:rsidR="00C068F8" w:rsidRPr="00EC14DE" w:rsidRDefault="00C068F8">
            <w:pPr>
              <w:rPr>
                <w:rFonts w:eastAsia="Times New Roman" w:cs="Times New Roman"/>
              </w:rPr>
            </w:pPr>
          </w:p>
        </w:tc>
      </w:tr>
      <w:tr w:rsidR="0080514E" w:rsidRPr="00EC14DE" w14:paraId="7644FEB5"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404187" w14:textId="77777777" w:rsidR="00C068F8" w:rsidRPr="00EC14DE" w:rsidRDefault="00C068F8">
            <w:pPr>
              <w:rPr>
                <w:rFonts w:cs="Times New Roman"/>
              </w:rPr>
            </w:pPr>
            <w:r w:rsidRPr="00EC14DE">
              <w:rPr>
                <w:rFonts w:cs="Times New Roman"/>
              </w:rPr>
              <w:t>MOLISE</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1E824D" w14:textId="77777777" w:rsidR="00C068F8" w:rsidRPr="00EC14DE" w:rsidRDefault="00C068F8">
            <w:pPr>
              <w:jc w:val="right"/>
              <w:rPr>
                <w:rFonts w:cs="Times New Roman"/>
              </w:rPr>
            </w:pPr>
            <w:r w:rsidRPr="00EC14DE">
              <w:rPr>
                <w:rFonts w:cs="Times New Roman"/>
              </w:rPr>
              <w:t>102.290</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79AEE4" w14:textId="77777777" w:rsidR="00C068F8" w:rsidRPr="00EC14DE" w:rsidRDefault="00C068F8">
            <w:pPr>
              <w:jc w:val="right"/>
              <w:rPr>
                <w:rFonts w:cs="Times New Roman"/>
              </w:rPr>
            </w:pPr>
            <w:r w:rsidRPr="00EC14DE">
              <w:rPr>
                <w:rFonts w:cs="Times New Roman"/>
              </w:rPr>
              <w:t>101.653</w:t>
            </w:r>
          </w:p>
        </w:tc>
        <w:tc>
          <w:tcPr>
            <w:tcW w:w="36" w:type="dxa"/>
            <w:tcMar>
              <w:top w:w="0" w:type="dxa"/>
              <w:left w:w="70" w:type="dxa"/>
              <w:bottom w:w="0" w:type="dxa"/>
              <w:right w:w="70" w:type="dxa"/>
            </w:tcMar>
            <w:vAlign w:val="center"/>
            <w:hideMark/>
          </w:tcPr>
          <w:p w14:paraId="6F3768BF" w14:textId="77777777" w:rsidR="00C068F8" w:rsidRPr="00EC14DE" w:rsidRDefault="00C068F8">
            <w:pPr>
              <w:rPr>
                <w:rFonts w:cs="Times New Roman"/>
              </w:rPr>
            </w:pPr>
          </w:p>
        </w:tc>
        <w:tc>
          <w:tcPr>
            <w:tcW w:w="6" w:type="dxa"/>
            <w:vAlign w:val="center"/>
            <w:hideMark/>
          </w:tcPr>
          <w:p w14:paraId="3BBA5468" w14:textId="77777777" w:rsidR="00C068F8" w:rsidRPr="00EC14DE" w:rsidRDefault="00C068F8">
            <w:pPr>
              <w:rPr>
                <w:rFonts w:eastAsia="Times New Roman" w:cs="Times New Roman"/>
              </w:rPr>
            </w:pPr>
          </w:p>
        </w:tc>
      </w:tr>
      <w:tr w:rsidR="0080514E" w:rsidRPr="00EC14DE" w14:paraId="395BC85F"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EC594B" w14:textId="77777777" w:rsidR="00C068F8" w:rsidRPr="00EC14DE" w:rsidRDefault="00C068F8">
            <w:pPr>
              <w:rPr>
                <w:rFonts w:cs="Times New Roman"/>
              </w:rPr>
            </w:pPr>
            <w:r w:rsidRPr="00EC14DE">
              <w:rPr>
                <w:rFonts w:cs="Times New Roman"/>
              </w:rPr>
              <w:t>CAMPANIA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2A6FAF" w14:textId="77777777" w:rsidR="00C068F8" w:rsidRPr="00EC14DE" w:rsidRDefault="00C068F8">
            <w:pPr>
              <w:jc w:val="right"/>
              <w:rPr>
                <w:rFonts w:cs="Times New Roman"/>
              </w:rPr>
            </w:pPr>
            <w:r w:rsidRPr="00EC14DE">
              <w:rPr>
                <w:rFonts w:cs="Times New Roman"/>
              </w:rPr>
              <w:t>1.854.038</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0B5375" w14:textId="77777777" w:rsidR="00C068F8" w:rsidRPr="00EC14DE" w:rsidRDefault="00C068F8">
            <w:pPr>
              <w:jc w:val="right"/>
              <w:rPr>
                <w:rFonts w:cs="Times New Roman"/>
              </w:rPr>
            </w:pPr>
            <w:r w:rsidRPr="00EC14DE">
              <w:rPr>
                <w:rFonts w:cs="Times New Roman"/>
              </w:rPr>
              <w:t>1.847.696</w:t>
            </w:r>
          </w:p>
        </w:tc>
        <w:tc>
          <w:tcPr>
            <w:tcW w:w="36" w:type="dxa"/>
            <w:tcMar>
              <w:top w:w="0" w:type="dxa"/>
              <w:left w:w="70" w:type="dxa"/>
              <w:bottom w:w="0" w:type="dxa"/>
              <w:right w:w="70" w:type="dxa"/>
            </w:tcMar>
            <w:vAlign w:val="center"/>
            <w:hideMark/>
          </w:tcPr>
          <w:p w14:paraId="498D82E6" w14:textId="77777777" w:rsidR="00C068F8" w:rsidRPr="00EC14DE" w:rsidRDefault="00C068F8">
            <w:pPr>
              <w:rPr>
                <w:rFonts w:cs="Times New Roman"/>
              </w:rPr>
            </w:pPr>
          </w:p>
        </w:tc>
        <w:tc>
          <w:tcPr>
            <w:tcW w:w="6" w:type="dxa"/>
            <w:vAlign w:val="center"/>
            <w:hideMark/>
          </w:tcPr>
          <w:p w14:paraId="54E391C3" w14:textId="77777777" w:rsidR="00C068F8" w:rsidRPr="00EC14DE" w:rsidRDefault="00C068F8">
            <w:pPr>
              <w:rPr>
                <w:rFonts w:eastAsia="Times New Roman" w:cs="Times New Roman"/>
              </w:rPr>
            </w:pPr>
          </w:p>
        </w:tc>
      </w:tr>
      <w:tr w:rsidR="0080514E" w:rsidRPr="00EC14DE" w14:paraId="5453324E"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22B8E2" w14:textId="77777777" w:rsidR="00C068F8" w:rsidRPr="00EC14DE" w:rsidRDefault="00C068F8">
            <w:pPr>
              <w:rPr>
                <w:rFonts w:cs="Times New Roman"/>
              </w:rPr>
            </w:pPr>
            <w:r w:rsidRPr="00EC14DE">
              <w:rPr>
                <w:rFonts w:cs="Times New Roman"/>
              </w:rPr>
              <w:t>PUGLIA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1B7DCE" w14:textId="77777777" w:rsidR="00C068F8" w:rsidRPr="00EC14DE" w:rsidRDefault="00C068F8">
            <w:pPr>
              <w:jc w:val="right"/>
              <w:rPr>
                <w:rFonts w:cs="Times New Roman"/>
              </w:rPr>
            </w:pPr>
            <w:r w:rsidRPr="00EC14DE">
              <w:rPr>
                <w:rFonts w:cs="Times New Roman"/>
              </w:rPr>
              <w:t>1.319.848</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B64185" w14:textId="77777777" w:rsidR="00C068F8" w:rsidRPr="00EC14DE" w:rsidRDefault="00C068F8">
            <w:pPr>
              <w:jc w:val="right"/>
              <w:rPr>
                <w:rFonts w:cs="Times New Roman"/>
              </w:rPr>
            </w:pPr>
            <w:r w:rsidRPr="00EC14DE">
              <w:rPr>
                <w:rFonts w:cs="Times New Roman"/>
              </w:rPr>
              <w:t>1.311.526</w:t>
            </w:r>
          </w:p>
        </w:tc>
        <w:tc>
          <w:tcPr>
            <w:tcW w:w="36" w:type="dxa"/>
            <w:tcMar>
              <w:top w:w="0" w:type="dxa"/>
              <w:left w:w="70" w:type="dxa"/>
              <w:bottom w:w="0" w:type="dxa"/>
              <w:right w:w="70" w:type="dxa"/>
            </w:tcMar>
            <w:vAlign w:val="center"/>
            <w:hideMark/>
          </w:tcPr>
          <w:p w14:paraId="7BFC648D" w14:textId="77777777" w:rsidR="00C068F8" w:rsidRPr="00EC14DE" w:rsidRDefault="00C068F8">
            <w:pPr>
              <w:rPr>
                <w:rFonts w:cs="Times New Roman"/>
              </w:rPr>
            </w:pPr>
          </w:p>
        </w:tc>
        <w:tc>
          <w:tcPr>
            <w:tcW w:w="6" w:type="dxa"/>
            <w:vAlign w:val="center"/>
            <w:hideMark/>
          </w:tcPr>
          <w:p w14:paraId="1CAA823D" w14:textId="77777777" w:rsidR="00C068F8" w:rsidRPr="00EC14DE" w:rsidRDefault="00C068F8">
            <w:pPr>
              <w:rPr>
                <w:rFonts w:eastAsia="Times New Roman" w:cs="Times New Roman"/>
              </w:rPr>
            </w:pPr>
          </w:p>
        </w:tc>
      </w:tr>
      <w:tr w:rsidR="0080514E" w:rsidRPr="00EC14DE" w14:paraId="134A74A9"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BDB381" w14:textId="77777777" w:rsidR="00C068F8" w:rsidRPr="00EC14DE" w:rsidRDefault="00C068F8">
            <w:pPr>
              <w:rPr>
                <w:rFonts w:cs="Times New Roman"/>
              </w:rPr>
            </w:pPr>
            <w:r w:rsidRPr="00EC14DE">
              <w:rPr>
                <w:rFonts w:cs="Times New Roman"/>
              </w:rPr>
              <w:t>BASILICATA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9C1530" w14:textId="77777777" w:rsidR="00C068F8" w:rsidRPr="00EC14DE" w:rsidRDefault="00C068F8">
            <w:pPr>
              <w:jc w:val="right"/>
              <w:rPr>
                <w:rFonts w:cs="Times New Roman"/>
              </w:rPr>
            </w:pPr>
            <w:r w:rsidRPr="00EC14DE">
              <w:rPr>
                <w:rFonts w:cs="Times New Roman"/>
              </w:rPr>
              <w:t>186.240</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E58431" w14:textId="77777777" w:rsidR="00C068F8" w:rsidRPr="00EC14DE" w:rsidRDefault="00C068F8">
            <w:pPr>
              <w:jc w:val="right"/>
              <w:rPr>
                <w:rFonts w:cs="Times New Roman"/>
              </w:rPr>
            </w:pPr>
            <w:r w:rsidRPr="00EC14DE">
              <w:rPr>
                <w:rFonts w:cs="Times New Roman"/>
              </w:rPr>
              <w:t>185.368</w:t>
            </w:r>
          </w:p>
        </w:tc>
        <w:tc>
          <w:tcPr>
            <w:tcW w:w="36" w:type="dxa"/>
            <w:tcMar>
              <w:top w:w="0" w:type="dxa"/>
              <w:left w:w="70" w:type="dxa"/>
              <w:bottom w:w="0" w:type="dxa"/>
              <w:right w:w="70" w:type="dxa"/>
            </w:tcMar>
            <w:vAlign w:val="center"/>
            <w:hideMark/>
          </w:tcPr>
          <w:p w14:paraId="7C0D16A7" w14:textId="77777777" w:rsidR="00C068F8" w:rsidRPr="00EC14DE" w:rsidRDefault="00C068F8">
            <w:pPr>
              <w:rPr>
                <w:rFonts w:cs="Times New Roman"/>
              </w:rPr>
            </w:pPr>
          </w:p>
        </w:tc>
        <w:tc>
          <w:tcPr>
            <w:tcW w:w="6" w:type="dxa"/>
            <w:vAlign w:val="center"/>
            <w:hideMark/>
          </w:tcPr>
          <w:p w14:paraId="1D2AF01E" w14:textId="77777777" w:rsidR="00C068F8" w:rsidRPr="00EC14DE" w:rsidRDefault="00C068F8">
            <w:pPr>
              <w:rPr>
                <w:rFonts w:eastAsia="Times New Roman" w:cs="Times New Roman"/>
              </w:rPr>
            </w:pPr>
          </w:p>
        </w:tc>
      </w:tr>
      <w:tr w:rsidR="0080514E" w:rsidRPr="00EC14DE" w14:paraId="69ABC94E"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6A2EFE" w14:textId="77777777" w:rsidR="00C068F8" w:rsidRPr="00EC14DE" w:rsidRDefault="00C068F8">
            <w:pPr>
              <w:rPr>
                <w:rFonts w:cs="Times New Roman"/>
              </w:rPr>
            </w:pPr>
            <w:r w:rsidRPr="00EC14DE">
              <w:rPr>
                <w:rFonts w:cs="Times New Roman"/>
              </w:rPr>
              <w:t>CALABRIA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999792" w14:textId="77777777" w:rsidR="00C068F8" w:rsidRPr="00EC14DE" w:rsidRDefault="00C068F8">
            <w:pPr>
              <w:jc w:val="right"/>
              <w:rPr>
                <w:rFonts w:cs="Times New Roman"/>
              </w:rPr>
            </w:pPr>
            <w:r w:rsidRPr="00EC14DE">
              <w:rPr>
                <w:rFonts w:cs="Times New Roman"/>
              </w:rPr>
              <w:t>635.933</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5898F4" w14:textId="77777777" w:rsidR="00C068F8" w:rsidRPr="00EC14DE" w:rsidRDefault="00C068F8">
            <w:pPr>
              <w:jc w:val="right"/>
              <w:rPr>
                <w:rFonts w:cs="Times New Roman"/>
              </w:rPr>
            </w:pPr>
            <w:r w:rsidRPr="00EC14DE">
              <w:rPr>
                <w:rFonts w:cs="Times New Roman"/>
              </w:rPr>
              <w:t>625.865</w:t>
            </w:r>
          </w:p>
        </w:tc>
        <w:tc>
          <w:tcPr>
            <w:tcW w:w="36" w:type="dxa"/>
            <w:tcMar>
              <w:top w:w="0" w:type="dxa"/>
              <w:left w:w="70" w:type="dxa"/>
              <w:bottom w:w="0" w:type="dxa"/>
              <w:right w:w="70" w:type="dxa"/>
            </w:tcMar>
            <w:vAlign w:val="center"/>
            <w:hideMark/>
          </w:tcPr>
          <w:p w14:paraId="1AF0851C" w14:textId="77777777" w:rsidR="00C068F8" w:rsidRPr="00EC14DE" w:rsidRDefault="00C068F8">
            <w:pPr>
              <w:rPr>
                <w:rFonts w:cs="Times New Roman"/>
              </w:rPr>
            </w:pPr>
          </w:p>
        </w:tc>
        <w:tc>
          <w:tcPr>
            <w:tcW w:w="6" w:type="dxa"/>
            <w:vAlign w:val="center"/>
            <w:hideMark/>
          </w:tcPr>
          <w:p w14:paraId="182F4D0E" w14:textId="77777777" w:rsidR="00C068F8" w:rsidRPr="00EC14DE" w:rsidRDefault="00C068F8">
            <w:pPr>
              <w:rPr>
                <w:rFonts w:eastAsia="Times New Roman" w:cs="Times New Roman"/>
              </w:rPr>
            </w:pPr>
          </w:p>
        </w:tc>
      </w:tr>
      <w:tr w:rsidR="0080514E" w:rsidRPr="00EC14DE" w14:paraId="7F482B3B"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56B084" w14:textId="77777777" w:rsidR="00C068F8" w:rsidRPr="00EC14DE" w:rsidRDefault="00C068F8">
            <w:pPr>
              <w:rPr>
                <w:rFonts w:cs="Times New Roman"/>
              </w:rPr>
            </w:pPr>
            <w:r w:rsidRPr="00EC14DE">
              <w:rPr>
                <w:rFonts w:cs="Times New Roman"/>
              </w:rPr>
              <w:t>SICILIA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BEA978" w14:textId="77777777" w:rsidR="00C068F8" w:rsidRPr="00EC14DE" w:rsidRDefault="00C068F8">
            <w:pPr>
              <w:jc w:val="right"/>
              <w:rPr>
                <w:rFonts w:cs="Times New Roman"/>
              </w:rPr>
            </w:pPr>
            <w:r w:rsidRPr="00EC14DE">
              <w:rPr>
                <w:rFonts w:cs="Times New Roman"/>
              </w:rPr>
              <w:t>1.626.734</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7841A0" w14:textId="77777777" w:rsidR="00C068F8" w:rsidRPr="00EC14DE" w:rsidRDefault="00C068F8">
            <w:pPr>
              <w:jc w:val="right"/>
              <w:rPr>
                <w:rFonts w:cs="Times New Roman"/>
              </w:rPr>
            </w:pPr>
            <w:r w:rsidRPr="00EC14DE">
              <w:rPr>
                <w:rFonts w:cs="Times New Roman"/>
              </w:rPr>
              <w:t>1.606.519</w:t>
            </w:r>
          </w:p>
        </w:tc>
        <w:tc>
          <w:tcPr>
            <w:tcW w:w="36" w:type="dxa"/>
            <w:tcMar>
              <w:top w:w="0" w:type="dxa"/>
              <w:left w:w="70" w:type="dxa"/>
              <w:bottom w:w="0" w:type="dxa"/>
              <w:right w:w="70" w:type="dxa"/>
            </w:tcMar>
            <w:vAlign w:val="center"/>
            <w:hideMark/>
          </w:tcPr>
          <w:p w14:paraId="477A7995" w14:textId="77777777" w:rsidR="00C068F8" w:rsidRPr="00EC14DE" w:rsidRDefault="00C068F8">
            <w:pPr>
              <w:rPr>
                <w:rFonts w:cs="Times New Roman"/>
              </w:rPr>
            </w:pPr>
          </w:p>
        </w:tc>
        <w:tc>
          <w:tcPr>
            <w:tcW w:w="6" w:type="dxa"/>
            <w:vAlign w:val="center"/>
            <w:hideMark/>
          </w:tcPr>
          <w:p w14:paraId="40971688" w14:textId="77777777" w:rsidR="00C068F8" w:rsidRPr="00EC14DE" w:rsidRDefault="00C068F8">
            <w:pPr>
              <w:rPr>
                <w:rFonts w:eastAsia="Times New Roman" w:cs="Times New Roman"/>
              </w:rPr>
            </w:pPr>
          </w:p>
        </w:tc>
      </w:tr>
      <w:tr w:rsidR="0080514E" w:rsidRPr="00EC14DE" w14:paraId="3526FD89"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AF6FBF" w14:textId="77777777" w:rsidR="00C068F8" w:rsidRPr="00EC14DE" w:rsidRDefault="00C068F8">
            <w:pPr>
              <w:rPr>
                <w:rFonts w:cs="Times New Roman"/>
              </w:rPr>
            </w:pPr>
            <w:r w:rsidRPr="00EC14DE">
              <w:rPr>
                <w:rFonts w:cs="Times New Roman"/>
              </w:rPr>
              <w:t>SARDEGNA</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5EA8DB" w14:textId="77777777" w:rsidR="00C068F8" w:rsidRPr="00EC14DE" w:rsidRDefault="00C068F8">
            <w:pPr>
              <w:jc w:val="right"/>
              <w:rPr>
                <w:rFonts w:cs="Times New Roman"/>
              </w:rPr>
            </w:pPr>
            <w:r w:rsidRPr="00EC14DE">
              <w:rPr>
                <w:rFonts w:cs="Times New Roman"/>
              </w:rPr>
              <w:t>546.921</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80DBC8" w14:textId="77777777" w:rsidR="00C068F8" w:rsidRPr="00EC14DE" w:rsidRDefault="00C068F8">
            <w:pPr>
              <w:jc w:val="right"/>
              <w:rPr>
                <w:rFonts w:cs="Times New Roman"/>
              </w:rPr>
            </w:pPr>
            <w:r w:rsidRPr="00EC14DE">
              <w:rPr>
                <w:rFonts w:cs="Times New Roman"/>
              </w:rPr>
              <w:t>544.144</w:t>
            </w:r>
          </w:p>
        </w:tc>
        <w:tc>
          <w:tcPr>
            <w:tcW w:w="36" w:type="dxa"/>
            <w:tcMar>
              <w:top w:w="0" w:type="dxa"/>
              <w:left w:w="70" w:type="dxa"/>
              <w:bottom w:w="0" w:type="dxa"/>
              <w:right w:w="70" w:type="dxa"/>
            </w:tcMar>
            <w:vAlign w:val="center"/>
            <w:hideMark/>
          </w:tcPr>
          <w:p w14:paraId="5F7C7C2B" w14:textId="77777777" w:rsidR="00C068F8" w:rsidRPr="00EC14DE" w:rsidRDefault="00C068F8">
            <w:pPr>
              <w:rPr>
                <w:rFonts w:cs="Times New Roman"/>
              </w:rPr>
            </w:pPr>
          </w:p>
        </w:tc>
        <w:tc>
          <w:tcPr>
            <w:tcW w:w="6" w:type="dxa"/>
            <w:vAlign w:val="center"/>
            <w:hideMark/>
          </w:tcPr>
          <w:p w14:paraId="45B468D8" w14:textId="77777777" w:rsidR="00C068F8" w:rsidRPr="00EC14DE" w:rsidRDefault="00C068F8">
            <w:pPr>
              <w:rPr>
                <w:rFonts w:eastAsia="Times New Roman" w:cs="Times New Roman"/>
              </w:rPr>
            </w:pPr>
          </w:p>
        </w:tc>
      </w:tr>
      <w:tr w:rsidR="0080514E" w:rsidRPr="00EC14DE" w14:paraId="5FED7A3E" w14:textId="77777777" w:rsidTr="00C068F8">
        <w:trPr>
          <w:trHeight w:val="420"/>
        </w:trPr>
        <w:tc>
          <w:tcPr>
            <w:tcW w:w="39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D94D28" w14:textId="77777777" w:rsidR="00C068F8" w:rsidRPr="00EC14DE" w:rsidRDefault="00C068F8">
            <w:pPr>
              <w:rPr>
                <w:rFonts w:cs="Times New Roman"/>
                <w:b/>
                <w:bCs/>
              </w:rPr>
            </w:pPr>
            <w:r w:rsidRPr="00EC14DE">
              <w:rPr>
                <w:rFonts w:cs="Times New Roman"/>
                <w:b/>
                <w:bCs/>
              </w:rPr>
              <w:t>TOTALE</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71CFF3" w14:textId="77777777" w:rsidR="00C068F8" w:rsidRPr="00EC14DE" w:rsidRDefault="00C068F8">
            <w:pPr>
              <w:jc w:val="right"/>
              <w:rPr>
                <w:rFonts w:cs="Times New Roman"/>
                <w:b/>
                <w:bCs/>
              </w:rPr>
            </w:pPr>
            <w:r w:rsidRPr="00EC14DE">
              <w:rPr>
                <w:rFonts w:cs="Times New Roman"/>
                <w:b/>
                <w:bCs/>
              </w:rPr>
              <w:t>19.932.000</w:t>
            </w:r>
          </w:p>
        </w:tc>
        <w:tc>
          <w:tcPr>
            <w:tcW w:w="15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435DA4" w14:textId="77777777" w:rsidR="00C068F8" w:rsidRPr="00EC14DE" w:rsidRDefault="00C068F8">
            <w:pPr>
              <w:jc w:val="right"/>
              <w:rPr>
                <w:rFonts w:cs="Times New Roman"/>
                <w:b/>
                <w:bCs/>
              </w:rPr>
            </w:pPr>
            <w:r w:rsidRPr="00EC14DE">
              <w:rPr>
                <w:rFonts w:cs="Times New Roman"/>
                <w:b/>
                <w:bCs/>
              </w:rPr>
              <w:t>19.932.000</w:t>
            </w:r>
          </w:p>
        </w:tc>
        <w:tc>
          <w:tcPr>
            <w:tcW w:w="36" w:type="dxa"/>
            <w:tcMar>
              <w:top w:w="0" w:type="dxa"/>
              <w:left w:w="70" w:type="dxa"/>
              <w:bottom w:w="0" w:type="dxa"/>
              <w:right w:w="70" w:type="dxa"/>
            </w:tcMar>
            <w:vAlign w:val="center"/>
            <w:hideMark/>
          </w:tcPr>
          <w:p w14:paraId="5A6C378A" w14:textId="77777777" w:rsidR="00C068F8" w:rsidRPr="00EC14DE" w:rsidRDefault="00C068F8">
            <w:pPr>
              <w:rPr>
                <w:rFonts w:cs="Times New Roman"/>
                <w:b/>
                <w:bCs/>
              </w:rPr>
            </w:pPr>
          </w:p>
        </w:tc>
        <w:tc>
          <w:tcPr>
            <w:tcW w:w="6" w:type="dxa"/>
            <w:vAlign w:val="center"/>
            <w:hideMark/>
          </w:tcPr>
          <w:p w14:paraId="049B969B" w14:textId="77777777" w:rsidR="00C068F8" w:rsidRPr="00EC14DE" w:rsidRDefault="00C068F8">
            <w:pPr>
              <w:rPr>
                <w:rFonts w:eastAsia="Times New Roman" w:cs="Times New Roman"/>
              </w:rPr>
            </w:pPr>
          </w:p>
        </w:tc>
      </w:tr>
    </w:tbl>
    <w:p w14:paraId="347796BC" w14:textId="77777777" w:rsidR="00C068F8" w:rsidRPr="00EC14DE" w:rsidRDefault="00C068F8" w:rsidP="009E1163">
      <w:pPr>
        <w:widowControl w:val="0"/>
        <w:rPr>
          <w:rFonts w:cs="Times New Roman"/>
          <w:b/>
          <w:bCs/>
        </w:rPr>
      </w:pPr>
    </w:p>
    <w:p w14:paraId="6ADE6796" w14:textId="77777777" w:rsidR="009C2766" w:rsidRPr="00EC14DE" w:rsidRDefault="009C2766">
      <w:pPr>
        <w:spacing w:after="160" w:line="259" w:lineRule="auto"/>
        <w:jc w:val="left"/>
        <w:rPr>
          <w:rFonts w:cs="Times New Roman"/>
          <w:b/>
          <w:bCs/>
        </w:rPr>
      </w:pPr>
    </w:p>
    <w:p w14:paraId="7138D5A8" w14:textId="77777777" w:rsidR="009C2766" w:rsidRPr="00EC14DE" w:rsidRDefault="009C2766">
      <w:pPr>
        <w:spacing w:after="160" w:line="259" w:lineRule="auto"/>
        <w:jc w:val="left"/>
        <w:rPr>
          <w:rFonts w:cs="Times New Roman"/>
          <w:b/>
          <w:bCs/>
        </w:rPr>
      </w:pPr>
    </w:p>
    <w:p w14:paraId="2C698B17" w14:textId="77777777" w:rsidR="00D10684" w:rsidRPr="00EC14DE" w:rsidRDefault="00D10684">
      <w:pPr>
        <w:spacing w:after="160" w:line="259" w:lineRule="auto"/>
        <w:jc w:val="left"/>
        <w:rPr>
          <w:rFonts w:cs="Times New Roman"/>
          <w:b/>
          <w:bCs/>
        </w:rPr>
      </w:pPr>
    </w:p>
    <w:p w14:paraId="6809AAF9" w14:textId="77777777" w:rsidR="009C2766" w:rsidRPr="00EC14DE" w:rsidRDefault="009C2766">
      <w:pPr>
        <w:spacing w:after="160" w:line="259" w:lineRule="auto"/>
        <w:jc w:val="left"/>
        <w:rPr>
          <w:rFonts w:cs="Times New Roman"/>
          <w:b/>
          <w:bCs/>
        </w:rPr>
      </w:pPr>
    </w:p>
    <w:p w14:paraId="55F10672" w14:textId="77777777" w:rsidR="009C2766" w:rsidRPr="00EC14DE" w:rsidRDefault="009C2766">
      <w:pPr>
        <w:spacing w:after="160" w:line="259" w:lineRule="auto"/>
        <w:jc w:val="left"/>
        <w:rPr>
          <w:rFonts w:cs="Times New Roman"/>
          <w:b/>
          <w:bCs/>
        </w:rPr>
      </w:pPr>
      <w:r w:rsidRPr="00EC14DE">
        <w:rPr>
          <w:rFonts w:cs="Times New Roman"/>
          <w:b/>
          <w:bCs/>
        </w:rPr>
        <w:br w:type="page"/>
      </w:r>
      <w:r w:rsidR="00D10684" w:rsidRPr="00EC14DE">
        <w:rPr>
          <w:rFonts w:cs="Times New Roman"/>
          <w:b/>
          <w:bCs/>
        </w:rPr>
        <w:t>Allegato 6 –</w:t>
      </w:r>
      <w:r w:rsidR="00A902DC" w:rsidRPr="00EC14DE">
        <w:rPr>
          <w:rFonts w:cs="Times New Roman"/>
          <w:b/>
          <w:bCs/>
        </w:rPr>
        <w:t xml:space="preserve"> Articolo 102</w:t>
      </w:r>
      <w:r w:rsidR="00D10684" w:rsidRPr="00EC14DE">
        <w:rPr>
          <w:rFonts w:cs="Times New Roman"/>
          <w:b/>
          <w:bCs/>
        </w:rPr>
        <w:t>, recante “</w:t>
      </w:r>
      <w:r w:rsidR="00D63FA3" w:rsidRPr="00EC14DE">
        <w:rPr>
          <w:b/>
        </w:rPr>
        <w:t>Proroga Unità speciali di continuità assistenziale</w:t>
      </w:r>
      <w:r w:rsidR="00D10684" w:rsidRPr="00EC14DE">
        <w:rPr>
          <w:rFonts w:cs="Times New Roman"/>
          <w:b/>
          <w:bCs/>
        </w:rPr>
        <w:t>”</w:t>
      </w:r>
    </w:p>
    <w:p w14:paraId="1A912426" w14:textId="77777777" w:rsidR="00D10684" w:rsidRPr="00EC14DE" w:rsidRDefault="00D10684">
      <w:pPr>
        <w:spacing w:after="160" w:line="259" w:lineRule="auto"/>
        <w:jc w:val="left"/>
        <w:rPr>
          <w:rFonts w:cs="Times New Roman"/>
          <w:b/>
          <w:bCs/>
        </w:rPr>
      </w:pPr>
    </w:p>
    <w:p w14:paraId="4D248C63" w14:textId="77777777" w:rsidR="009C2766" w:rsidRPr="00EC14DE" w:rsidRDefault="006575E7" w:rsidP="00D535EC">
      <w:pPr>
        <w:spacing w:after="160" w:line="259" w:lineRule="auto"/>
        <w:jc w:val="left"/>
        <w:rPr>
          <w:rFonts w:cs="Times New Roman"/>
          <w:b/>
          <w:bCs/>
        </w:rPr>
      </w:pPr>
      <w:r w:rsidRPr="00EC14DE">
        <w:rPr>
          <w:noProof/>
          <w:lang w:eastAsia="it-IT"/>
        </w:rPr>
        <w:drawing>
          <wp:inline distT="0" distB="0" distL="0" distR="0" wp14:anchorId="0DDB5F93" wp14:editId="33EE3710">
            <wp:extent cx="3522345" cy="4215637"/>
            <wp:effectExtent l="0" t="0" r="1905" b="0"/>
            <wp:docPr id="16" name="Immagine 16" descr="cid:image001.png@01D7D48D.2DEAD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cid:image001.png@01D7D48D.2DEAD180"/>
                    <pic:cNvPicPr>
                      <a:picLocks noChangeAspect="1" noChangeArrowheads="1"/>
                    </pic:cNvPicPr>
                  </pic:nvPicPr>
                  <pic:blipFill rotWithShape="1">
                    <a:blip r:embed="rId35" r:link="rId36">
                      <a:extLst>
                        <a:ext uri="{28A0092B-C50C-407E-A947-70E740481C1C}">
                          <a14:useLocalDpi xmlns:a14="http://schemas.microsoft.com/office/drawing/2010/main" val="0"/>
                        </a:ext>
                      </a:extLst>
                    </a:blip>
                    <a:srcRect t="7289" b="-1542"/>
                    <a:stretch/>
                  </pic:blipFill>
                  <pic:spPr bwMode="auto">
                    <a:xfrm>
                      <a:off x="0" y="0"/>
                      <a:ext cx="3523460" cy="4216971"/>
                    </a:xfrm>
                    <a:prstGeom prst="rect">
                      <a:avLst/>
                    </a:prstGeom>
                    <a:noFill/>
                    <a:ln>
                      <a:noFill/>
                    </a:ln>
                    <a:extLst>
                      <a:ext uri="{53640926-AAD7-44D8-BBD7-CCE9431645EC}">
                        <a14:shadowObscured xmlns:a14="http://schemas.microsoft.com/office/drawing/2010/main"/>
                      </a:ext>
                    </a:extLst>
                  </pic:spPr>
                </pic:pic>
              </a:graphicData>
            </a:graphic>
          </wp:inline>
        </w:drawing>
      </w:r>
    </w:p>
    <w:p w14:paraId="0E2A8FDA" w14:textId="77777777" w:rsidR="009C2766" w:rsidRPr="00EC14DE" w:rsidRDefault="009C2766">
      <w:pPr>
        <w:spacing w:after="160" w:line="259" w:lineRule="auto"/>
        <w:jc w:val="left"/>
        <w:rPr>
          <w:rFonts w:cs="Times New Roman"/>
          <w:b/>
          <w:bCs/>
        </w:rPr>
      </w:pPr>
      <w:r w:rsidRPr="00EC14DE">
        <w:rPr>
          <w:rFonts w:cs="Times New Roman"/>
          <w:b/>
          <w:bCs/>
        </w:rPr>
        <w:br w:type="page"/>
      </w:r>
    </w:p>
    <w:p w14:paraId="11DD6887" w14:textId="77777777" w:rsidR="009E1163" w:rsidRPr="00EC14DE" w:rsidRDefault="009E1163" w:rsidP="009E1163">
      <w:pPr>
        <w:widowControl w:val="0"/>
        <w:rPr>
          <w:rFonts w:cs="Times New Roman"/>
          <w:b/>
        </w:rPr>
      </w:pPr>
      <w:r w:rsidRPr="00EC14DE">
        <w:rPr>
          <w:rFonts w:cs="Times New Roman"/>
          <w:b/>
          <w:bCs/>
        </w:rPr>
        <w:t xml:space="preserve">Allegato </w:t>
      </w:r>
      <w:r w:rsidR="009C2766" w:rsidRPr="00EC14DE">
        <w:rPr>
          <w:rFonts w:cs="Times New Roman"/>
          <w:b/>
          <w:bCs/>
        </w:rPr>
        <w:t xml:space="preserve">7 </w:t>
      </w:r>
      <w:r w:rsidR="00173FC5" w:rsidRPr="00EC14DE">
        <w:rPr>
          <w:rFonts w:cs="Times New Roman"/>
          <w:b/>
          <w:bCs/>
        </w:rPr>
        <w:t xml:space="preserve">- </w:t>
      </w:r>
      <w:r w:rsidRPr="00EC14DE">
        <w:rPr>
          <w:rFonts w:cs="Times New Roman"/>
          <w:b/>
          <w:bCs/>
        </w:rPr>
        <w:t xml:space="preserve">Articolo </w:t>
      </w:r>
      <w:r w:rsidR="008F587C" w:rsidRPr="00EC14DE">
        <w:rPr>
          <w:rFonts w:cs="Times New Roman"/>
          <w:b/>
          <w:bCs/>
        </w:rPr>
        <w:t>187</w:t>
      </w:r>
      <w:r w:rsidR="00AC68FD" w:rsidRPr="00EC14DE">
        <w:rPr>
          <w:rFonts w:cs="Times New Roman"/>
          <w:b/>
          <w:bCs/>
        </w:rPr>
        <w:t>,</w:t>
      </w:r>
      <w:r w:rsidRPr="00EC14DE">
        <w:rPr>
          <w:rFonts w:cs="Times New Roman"/>
          <w:b/>
          <w:bCs/>
        </w:rPr>
        <w:t xml:space="preserve"> </w:t>
      </w:r>
      <w:r w:rsidR="002A1C5C" w:rsidRPr="00EC14DE">
        <w:rPr>
          <w:rFonts w:cs="Times New Roman"/>
          <w:b/>
          <w:bCs/>
        </w:rPr>
        <w:t xml:space="preserve">recante </w:t>
      </w:r>
      <w:r w:rsidRPr="00EC14DE">
        <w:rPr>
          <w:rFonts w:cs="Times New Roman"/>
          <w:b/>
          <w:bCs/>
        </w:rPr>
        <w:t>“</w:t>
      </w:r>
      <w:r w:rsidRPr="00EC14DE">
        <w:rPr>
          <w:rFonts w:cs="Times New Roman"/>
          <w:b/>
        </w:rPr>
        <w:t>Ruolo organico della magistratura ordinaria”</w:t>
      </w:r>
    </w:p>
    <w:p w14:paraId="75FFBDB5" w14:textId="77777777" w:rsidR="00D86053" w:rsidRPr="00EC14DE" w:rsidRDefault="00D86053" w:rsidP="009E1163">
      <w:pPr>
        <w:widowControl w:val="0"/>
        <w:rPr>
          <w:rFonts w:cs="Times New Roman"/>
          <w:b/>
        </w:rPr>
      </w:pPr>
    </w:p>
    <w:p w14:paraId="6F1DD192" w14:textId="77777777" w:rsidR="00D86053" w:rsidRPr="00EC14DE" w:rsidRDefault="00D86053" w:rsidP="009E1163">
      <w:pPr>
        <w:widowControl w:val="0"/>
        <w:rPr>
          <w:rFonts w:cs="Times New Roman"/>
          <w:bCs/>
        </w:rPr>
      </w:pPr>
      <w:r w:rsidRPr="00EC14DE">
        <w:rPr>
          <w:rFonts w:cs="Times New Roman"/>
          <w:bCs/>
        </w:rPr>
        <w:t xml:space="preserve">Tabella B </w:t>
      </w:r>
    </w:p>
    <w:p w14:paraId="65FDC1F3" w14:textId="77777777" w:rsidR="009E1163" w:rsidRPr="00EC14DE" w:rsidRDefault="00D86053" w:rsidP="009E1163">
      <w:pPr>
        <w:widowControl w:val="0"/>
        <w:rPr>
          <w:rFonts w:cs="Times New Roman"/>
          <w:bCs/>
        </w:rPr>
      </w:pPr>
      <w:r w:rsidRPr="00EC14DE">
        <w:rPr>
          <w:rFonts w:cs="Times New Roman"/>
          <w:bCs/>
        </w:rPr>
        <w:t>(allegata alla legge 5 marzo 1991, n. 71)</w:t>
      </w:r>
    </w:p>
    <w:p w14:paraId="5306877B" w14:textId="77777777" w:rsidR="00D86053" w:rsidRPr="00EC14DE" w:rsidRDefault="00D86053" w:rsidP="009E1163">
      <w:pPr>
        <w:widowControl w:val="0"/>
        <w:rPr>
          <w:rFonts w:cs="Times New Roman"/>
          <w:b/>
          <w:bCs/>
        </w:rPr>
      </w:pPr>
    </w:p>
    <w:tbl>
      <w:tblPr>
        <w:tblW w:w="9781" w:type="dxa"/>
        <w:tblInd w:w="-10" w:type="dxa"/>
        <w:tblLayout w:type="fixed"/>
        <w:tblCellMar>
          <w:left w:w="0" w:type="dxa"/>
          <w:right w:w="0" w:type="dxa"/>
        </w:tblCellMar>
        <w:tblLook w:val="04A0" w:firstRow="1" w:lastRow="0" w:firstColumn="1" w:lastColumn="0" w:noHBand="0" w:noVBand="1"/>
      </w:tblPr>
      <w:tblGrid>
        <w:gridCol w:w="7136"/>
        <w:gridCol w:w="2645"/>
      </w:tblGrid>
      <w:tr w:rsidR="009E1163" w:rsidRPr="00EC14DE" w14:paraId="53BFBB72" w14:textId="77777777" w:rsidTr="00C138FE">
        <w:trPr>
          <w:trHeight w:val="243"/>
        </w:trPr>
        <w:tc>
          <w:tcPr>
            <w:tcW w:w="9781"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3C884B5B" w14:textId="77777777" w:rsidR="009E1163" w:rsidRPr="00EC14DE" w:rsidRDefault="009E1163" w:rsidP="003B509A">
            <w:pPr>
              <w:widowControl w:val="0"/>
              <w:rPr>
                <w:rFonts w:cs="Times New Roman"/>
              </w:rPr>
            </w:pPr>
            <w:r w:rsidRPr="00EC14DE">
              <w:rPr>
                <w:rFonts w:cs="Times New Roman"/>
              </w:rPr>
              <w:t>RUOLO ORGANICO DELLA MAGISTRATURA ORDINARIA</w:t>
            </w:r>
          </w:p>
        </w:tc>
      </w:tr>
      <w:tr w:rsidR="009E1163" w:rsidRPr="00EC14DE" w14:paraId="567FB5F3" w14:textId="77777777" w:rsidTr="00C138FE">
        <w:trPr>
          <w:trHeight w:val="495"/>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7D86F900" w14:textId="77777777" w:rsidR="009E1163" w:rsidRPr="00EC14DE" w:rsidRDefault="009E1163" w:rsidP="003B509A">
            <w:pPr>
              <w:widowControl w:val="0"/>
              <w:rPr>
                <w:rFonts w:cs="Times New Roman"/>
              </w:rPr>
            </w:pPr>
            <w:r w:rsidRPr="00EC14DE">
              <w:rPr>
                <w:rFonts w:cs="Times New Roman"/>
              </w:rPr>
              <w:t>A. Magistrato con funzioni direttive apicali giudicanti di legittimità: Primo presidente della Corte di cassazione</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3E0B671E" w14:textId="77777777" w:rsidR="009E1163" w:rsidRPr="00EC14DE" w:rsidRDefault="009E1163" w:rsidP="003B509A">
            <w:pPr>
              <w:widowControl w:val="0"/>
              <w:rPr>
                <w:rFonts w:cs="Times New Roman"/>
              </w:rPr>
            </w:pPr>
            <w:r w:rsidRPr="00EC14DE">
              <w:rPr>
                <w:rFonts w:cs="Times New Roman"/>
              </w:rPr>
              <w:t>1</w:t>
            </w:r>
          </w:p>
        </w:tc>
      </w:tr>
      <w:tr w:rsidR="009E1163" w:rsidRPr="00EC14DE" w14:paraId="2985110F" w14:textId="77777777" w:rsidTr="00C138FE">
        <w:trPr>
          <w:trHeight w:val="495"/>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7C741320" w14:textId="77777777" w:rsidR="009E1163" w:rsidRPr="00EC14DE" w:rsidRDefault="009E1163" w:rsidP="003B509A">
            <w:pPr>
              <w:widowControl w:val="0"/>
              <w:rPr>
                <w:rFonts w:cs="Times New Roman"/>
              </w:rPr>
            </w:pPr>
            <w:r w:rsidRPr="00EC14DE">
              <w:rPr>
                <w:rFonts w:cs="Times New Roman"/>
              </w:rPr>
              <w:t>B. Magistrato con funzioni direttive apicali requirenti di legittimità: Procuratore generale presso la Corte di cassazione</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0C0EA964" w14:textId="77777777" w:rsidR="009E1163" w:rsidRPr="00EC14DE" w:rsidRDefault="009E1163" w:rsidP="003B509A">
            <w:pPr>
              <w:widowControl w:val="0"/>
              <w:rPr>
                <w:rFonts w:cs="Times New Roman"/>
              </w:rPr>
            </w:pPr>
            <w:r w:rsidRPr="00EC14DE">
              <w:rPr>
                <w:rFonts w:cs="Times New Roman"/>
              </w:rPr>
              <w:t>1</w:t>
            </w:r>
          </w:p>
        </w:tc>
      </w:tr>
      <w:tr w:rsidR="009E1163" w:rsidRPr="00EC14DE" w14:paraId="46E9E98F" w14:textId="77777777" w:rsidTr="00C138FE">
        <w:trPr>
          <w:trHeight w:val="243"/>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70EC3AF9" w14:textId="77777777" w:rsidR="009E1163" w:rsidRPr="00EC14DE" w:rsidRDefault="009E1163" w:rsidP="003B509A">
            <w:pPr>
              <w:widowControl w:val="0"/>
              <w:rPr>
                <w:rFonts w:cs="Times New Roman"/>
              </w:rPr>
            </w:pPr>
            <w:r w:rsidRPr="00EC14DE">
              <w:rPr>
                <w:rFonts w:cs="Times New Roman"/>
              </w:rPr>
              <w:t>C. Magistrati con funzioni direttive superiori di legittimità:</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319F4A16" w14:textId="77777777" w:rsidR="009E1163" w:rsidRPr="00EC14DE" w:rsidRDefault="009E1163" w:rsidP="003B509A">
            <w:pPr>
              <w:widowControl w:val="0"/>
              <w:rPr>
                <w:rFonts w:cs="Times New Roman"/>
              </w:rPr>
            </w:pPr>
          </w:p>
        </w:tc>
      </w:tr>
      <w:tr w:rsidR="009E1163" w:rsidRPr="00EC14DE" w14:paraId="4AFE38D8" w14:textId="77777777" w:rsidTr="00C138FE">
        <w:trPr>
          <w:trHeight w:val="236"/>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16B1FC4D" w14:textId="77777777" w:rsidR="009E1163" w:rsidRPr="00EC14DE" w:rsidRDefault="009E1163" w:rsidP="003B509A">
            <w:pPr>
              <w:widowControl w:val="0"/>
              <w:rPr>
                <w:rFonts w:cs="Times New Roman"/>
              </w:rPr>
            </w:pPr>
            <w:r w:rsidRPr="00EC14DE">
              <w:rPr>
                <w:rFonts w:cs="Times New Roman"/>
              </w:rPr>
              <w:t>Presidente aggiunto della Corte di cassazione</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4528D849" w14:textId="77777777" w:rsidR="009E1163" w:rsidRPr="00EC14DE" w:rsidRDefault="009E1163" w:rsidP="003B509A">
            <w:pPr>
              <w:widowControl w:val="0"/>
              <w:rPr>
                <w:rFonts w:cs="Times New Roman"/>
              </w:rPr>
            </w:pPr>
            <w:r w:rsidRPr="00EC14DE">
              <w:rPr>
                <w:rFonts w:cs="Times New Roman"/>
              </w:rPr>
              <w:t>1</w:t>
            </w:r>
          </w:p>
        </w:tc>
      </w:tr>
      <w:tr w:rsidR="009E1163" w:rsidRPr="00EC14DE" w14:paraId="4FF49DA5" w14:textId="77777777" w:rsidTr="00C138FE">
        <w:trPr>
          <w:trHeight w:val="243"/>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15D78585" w14:textId="77777777" w:rsidR="009E1163" w:rsidRPr="00EC14DE" w:rsidRDefault="009E1163" w:rsidP="003B509A">
            <w:pPr>
              <w:widowControl w:val="0"/>
              <w:rPr>
                <w:rFonts w:cs="Times New Roman"/>
              </w:rPr>
            </w:pPr>
            <w:r w:rsidRPr="00EC14DE">
              <w:rPr>
                <w:rFonts w:cs="Times New Roman"/>
              </w:rPr>
              <w:t>Procuratore generale aggiunto presso la Corte di cassazione</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082A0AFF" w14:textId="77777777" w:rsidR="009E1163" w:rsidRPr="00EC14DE" w:rsidRDefault="009E1163" w:rsidP="003B509A">
            <w:pPr>
              <w:widowControl w:val="0"/>
              <w:rPr>
                <w:rFonts w:cs="Times New Roman"/>
              </w:rPr>
            </w:pPr>
            <w:r w:rsidRPr="00EC14DE">
              <w:rPr>
                <w:rFonts w:cs="Times New Roman"/>
              </w:rPr>
              <w:t>1</w:t>
            </w:r>
          </w:p>
        </w:tc>
      </w:tr>
      <w:tr w:rsidR="009E1163" w:rsidRPr="00EC14DE" w14:paraId="4F12EFB0" w14:textId="77777777" w:rsidTr="00C138FE">
        <w:trPr>
          <w:trHeight w:val="243"/>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7650A7F1" w14:textId="77777777" w:rsidR="009E1163" w:rsidRPr="00EC14DE" w:rsidRDefault="009E1163" w:rsidP="003B509A">
            <w:pPr>
              <w:widowControl w:val="0"/>
              <w:rPr>
                <w:rFonts w:cs="Times New Roman"/>
              </w:rPr>
            </w:pPr>
            <w:r w:rsidRPr="00EC14DE">
              <w:rPr>
                <w:rFonts w:cs="Times New Roman"/>
              </w:rPr>
              <w:t>Presidente del Tribunale superiore delle acque pubbliche</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0F47C310" w14:textId="77777777" w:rsidR="009E1163" w:rsidRPr="00EC14DE" w:rsidRDefault="009E1163" w:rsidP="003B509A">
            <w:pPr>
              <w:widowControl w:val="0"/>
              <w:rPr>
                <w:rFonts w:cs="Times New Roman"/>
              </w:rPr>
            </w:pPr>
            <w:r w:rsidRPr="00EC14DE">
              <w:rPr>
                <w:rFonts w:cs="Times New Roman"/>
              </w:rPr>
              <w:t>1</w:t>
            </w:r>
          </w:p>
        </w:tc>
      </w:tr>
      <w:tr w:rsidR="009E1163" w:rsidRPr="00EC14DE" w14:paraId="17E13B6D" w14:textId="77777777" w:rsidTr="00C138FE">
        <w:trPr>
          <w:trHeight w:val="243"/>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24821997" w14:textId="77777777" w:rsidR="009E1163" w:rsidRPr="00EC14DE" w:rsidRDefault="009E1163" w:rsidP="003B509A">
            <w:pPr>
              <w:widowControl w:val="0"/>
              <w:rPr>
                <w:rFonts w:cs="Times New Roman"/>
              </w:rPr>
            </w:pPr>
            <w:r w:rsidRPr="00EC14DE">
              <w:rPr>
                <w:rFonts w:cs="Times New Roman"/>
              </w:rPr>
              <w:t>D. Magistrati con funzioni giudicanti e requirenti direttive di legittimità</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2E1C89DA" w14:textId="77777777" w:rsidR="009E1163" w:rsidRPr="00EC14DE" w:rsidRDefault="009E1163" w:rsidP="003B509A">
            <w:pPr>
              <w:widowControl w:val="0"/>
              <w:rPr>
                <w:rFonts w:cs="Times New Roman"/>
              </w:rPr>
            </w:pPr>
            <w:r w:rsidRPr="00EC14DE">
              <w:rPr>
                <w:rFonts w:cs="Times New Roman"/>
              </w:rPr>
              <w:t>65</w:t>
            </w:r>
          </w:p>
        </w:tc>
      </w:tr>
      <w:tr w:rsidR="009E1163" w:rsidRPr="00EC14DE" w14:paraId="3DB49E3D" w14:textId="77777777" w:rsidTr="00C138FE">
        <w:trPr>
          <w:trHeight w:val="243"/>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36B18629" w14:textId="77777777" w:rsidR="009E1163" w:rsidRPr="00EC14DE" w:rsidRDefault="009E1163" w:rsidP="003B509A">
            <w:pPr>
              <w:widowControl w:val="0"/>
              <w:rPr>
                <w:rFonts w:cs="Times New Roman"/>
                <w:b/>
                <w:bCs/>
              </w:rPr>
            </w:pPr>
            <w:r w:rsidRPr="00EC14DE">
              <w:rPr>
                <w:rFonts w:cs="Times New Roman"/>
                <w:b/>
                <w:bCs/>
              </w:rPr>
              <w:t>E. Magistrati con funzioni giudicanti e requirenti di legittimità</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5374AA43" w14:textId="77777777" w:rsidR="009E1163" w:rsidRPr="00EC14DE" w:rsidRDefault="009E1163" w:rsidP="003B509A">
            <w:pPr>
              <w:widowControl w:val="0"/>
              <w:rPr>
                <w:rFonts w:cs="Times New Roman"/>
                <w:b/>
                <w:bCs/>
              </w:rPr>
            </w:pPr>
            <w:r w:rsidRPr="00EC14DE">
              <w:rPr>
                <w:rFonts w:cs="Times New Roman"/>
                <w:b/>
                <w:bCs/>
              </w:rPr>
              <w:t xml:space="preserve">442 </w:t>
            </w:r>
          </w:p>
        </w:tc>
      </w:tr>
      <w:tr w:rsidR="009E1163" w:rsidRPr="00EC14DE" w14:paraId="6ED93501" w14:textId="77777777" w:rsidTr="00C138FE">
        <w:trPr>
          <w:trHeight w:val="495"/>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55275217" w14:textId="77777777" w:rsidR="009E1163" w:rsidRPr="00EC14DE" w:rsidRDefault="009E1163" w:rsidP="003B509A">
            <w:pPr>
              <w:widowControl w:val="0"/>
              <w:rPr>
                <w:rFonts w:cs="Times New Roman"/>
              </w:rPr>
            </w:pPr>
            <w:r w:rsidRPr="00EC14DE">
              <w:rPr>
                <w:rFonts w:cs="Times New Roman"/>
              </w:rPr>
              <w:t>F. Magistrato con funzioni direttive requirenti di coordinamento nazionale: Procuratore nazionale antimafia e antiterrorismo</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60852494" w14:textId="77777777" w:rsidR="009E1163" w:rsidRPr="00EC14DE" w:rsidRDefault="009E1163" w:rsidP="003B509A">
            <w:pPr>
              <w:widowControl w:val="0"/>
              <w:rPr>
                <w:rFonts w:cs="Times New Roman"/>
              </w:rPr>
            </w:pPr>
            <w:r w:rsidRPr="00EC14DE">
              <w:rPr>
                <w:rFonts w:cs="Times New Roman"/>
              </w:rPr>
              <w:t>1</w:t>
            </w:r>
          </w:p>
        </w:tc>
      </w:tr>
      <w:tr w:rsidR="009E1163" w:rsidRPr="00EC14DE" w14:paraId="00CDF23D" w14:textId="77777777" w:rsidTr="00C138FE">
        <w:trPr>
          <w:trHeight w:val="495"/>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1DD34F24" w14:textId="77777777" w:rsidR="009E1163" w:rsidRPr="00EC14DE" w:rsidRDefault="009E1163" w:rsidP="003B509A">
            <w:pPr>
              <w:widowControl w:val="0"/>
              <w:rPr>
                <w:rFonts w:cs="Times New Roman"/>
              </w:rPr>
            </w:pPr>
            <w:r w:rsidRPr="00EC14DE">
              <w:rPr>
                <w:rFonts w:cs="Times New Roman"/>
              </w:rPr>
              <w:t>G. Magistrati con funzioni direttive di merito di secondo grado, giudicanti e requirenti</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4E8FE195" w14:textId="77777777" w:rsidR="009E1163" w:rsidRPr="00EC14DE" w:rsidRDefault="009E1163" w:rsidP="003B509A">
            <w:pPr>
              <w:widowControl w:val="0"/>
              <w:rPr>
                <w:rFonts w:cs="Times New Roman"/>
              </w:rPr>
            </w:pPr>
            <w:r w:rsidRPr="00EC14DE">
              <w:rPr>
                <w:rFonts w:cs="Times New Roman"/>
              </w:rPr>
              <w:t>52</w:t>
            </w:r>
          </w:p>
        </w:tc>
      </w:tr>
      <w:tr w:rsidR="009E1163" w:rsidRPr="00EC14DE" w14:paraId="441701A7" w14:textId="77777777" w:rsidTr="00C138FE">
        <w:trPr>
          <w:trHeight w:val="495"/>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77D2D138" w14:textId="77777777" w:rsidR="009E1163" w:rsidRPr="00EC14DE" w:rsidRDefault="009E1163" w:rsidP="003B509A">
            <w:pPr>
              <w:widowControl w:val="0"/>
              <w:rPr>
                <w:rFonts w:cs="Times New Roman"/>
              </w:rPr>
            </w:pPr>
            <w:r w:rsidRPr="00EC14DE">
              <w:rPr>
                <w:rFonts w:cs="Times New Roman"/>
              </w:rPr>
              <w:t>H. Magistrati con funzioni direttive di merito di primo grado elevate, giudicanti e requirenti</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6DB140FC" w14:textId="77777777" w:rsidR="009E1163" w:rsidRPr="00EC14DE" w:rsidRDefault="009E1163" w:rsidP="003B509A">
            <w:pPr>
              <w:widowControl w:val="0"/>
              <w:rPr>
                <w:rFonts w:cs="Times New Roman"/>
              </w:rPr>
            </w:pPr>
            <w:r w:rsidRPr="00EC14DE">
              <w:rPr>
                <w:rFonts w:cs="Times New Roman"/>
              </w:rPr>
              <w:t>53</w:t>
            </w:r>
          </w:p>
        </w:tc>
      </w:tr>
      <w:tr w:rsidR="009E1163" w:rsidRPr="00EC14DE" w14:paraId="4EBBF290" w14:textId="77777777" w:rsidTr="00C138FE">
        <w:trPr>
          <w:trHeight w:val="488"/>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41A7321E" w14:textId="77777777" w:rsidR="009E1163" w:rsidRPr="00EC14DE" w:rsidRDefault="009E1163" w:rsidP="003B509A">
            <w:pPr>
              <w:widowControl w:val="0"/>
              <w:rPr>
                <w:rFonts w:cs="Times New Roman"/>
              </w:rPr>
            </w:pPr>
            <w:r w:rsidRPr="00EC14DE">
              <w:rPr>
                <w:rFonts w:cs="Times New Roman"/>
              </w:rPr>
              <w:t>I. Magistrati con funzioni direttive di merito giudicanti e requirenti di primo grado</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463A898E" w14:textId="77777777" w:rsidR="009E1163" w:rsidRPr="00EC14DE" w:rsidRDefault="009E1163" w:rsidP="003B509A">
            <w:pPr>
              <w:widowControl w:val="0"/>
              <w:rPr>
                <w:rFonts w:cs="Times New Roman"/>
              </w:rPr>
            </w:pPr>
            <w:r w:rsidRPr="00EC14DE">
              <w:rPr>
                <w:rFonts w:cs="Times New Roman"/>
              </w:rPr>
              <w:t>314</w:t>
            </w:r>
          </w:p>
        </w:tc>
      </w:tr>
      <w:tr w:rsidR="009E1163" w:rsidRPr="00EC14DE" w14:paraId="49FFA494" w14:textId="77777777" w:rsidTr="00C138FE">
        <w:trPr>
          <w:trHeight w:val="1502"/>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1B556052" w14:textId="77777777" w:rsidR="009E1163" w:rsidRPr="00EC14DE" w:rsidRDefault="009E1163" w:rsidP="003B509A">
            <w:pPr>
              <w:widowControl w:val="0"/>
              <w:rPr>
                <w:rFonts w:cs="Times New Roman"/>
              </w:rPr>
            </w:pPr>
            <w:r w:rsidRPr="00EC14DE">
              <w:rPr>
                <w:rFonts w:cs="Times New Roman"/>
              </w:rPr>
              <w:t>L</w:t>
            </w:r>
            <w:r w:rsidRPr="00EC14DE">
              <w:rPr>
                <w:rFonts w:cs="Times New Roman"/>
                <w:b/>
                <w:bCs/>
              </w:rPr>
              <w:t>. Magistrati con funzioni giudicanti e requirenti di merito di primo e di secondo grado, di magistrato distrettuale, di coordinamento nazionale presso la Direzione nazionale antimafia e antiterrorismo e semidirettive di primo grado, di primo grado elevate e di secondo grado, nonché magistrati destinati alle funzioni di procuratori europei delegati.</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355CF3BF" w14:textId="77777777" w:rsidR="009E1163" w:rsidRPr="00EC14DE" w:rsidRDefault="009E1163" w:rsidP="003B509A">
            <w:pPr>
              <w:widowControl w:val="0"/>
              <w:rPr>
                <w:rFonts w:cs="Times New Roman"/>
                <w:b/>
                <w:bCs/>
              </w:rPr>
            </w:pPr>
            <w:r w:rsidRPr="00EC14DE">
              <w:rPr>
                <w:rFonts w:cs="Times New Roman"/>
                <w:b/>
                <w:bCs/>
              </w:rPr>
              <w:t>9.721</w:t>
            </w:r>
          </w:p>
        </w:tc>
      </w:tr>
      <w:tr w:rsidR="009E1163" w:rsidRPr="00EC14DE" w14:paraId="7D27B1E9" w14:textId="77777777" w:rsidTr="00C138FE">
        <w:trPr>
          <w:trHeight w:val="243"/>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99276" w14:textId="77777777" w:rsidR="009E1163" w:rsidRPr="00EC14DE" w:rsidRDefault="009E1163" w:rsidP="003B509A">
            <w:pPr>
              <w:widowControl w:val="0"/>
              <w:rPr>
                <w:rFonts w:cs="Times New Roman"/>
              </w:rPr>
            </w:pPr>
            <w:r w:rsidRPr="00EC14DE">
              <w:rPr>
                <w:rFonts w:cs="Times New Roman"/>
              </w:rPr>
              <w:t>M. Magistrati destinati a funzioni non giudiziarie</w:t>
            </w:r>
          </w:p>
        </w:tc>
        <w:tc>
          <w:tcPr>
            <w:tcW w:w="2645" w:type="dxa"/>
            <w:tcBorders>
              <w:bottom w:val="single" w:sz="8" w:space="0" w:color="000000"/>
              <w:right w:val="single" w:sz="8" w:space="0" w:color="000000"/>
            </w:tcBorders>
            <w:tcMar>
              <w:top w:w="20" w:type="dxa"/>
              <w:left w:w="20" w:type="dxa"/>
              <w:bottom w:w="20" w:type="dxa"/>
              <w:right w:w="20" w:type="dxa"/>
            </w:tcMar>
            <w:vAlign w:val="center"/>
          </w:tcPr>
          <w:p w14:paraId="5A54AAC2" w14:textId="77777777" w:rsidR="009E1163" w:rsidRPr="00EC14DE" w:rsidRDefault="009E1163" w:rsidP="003B509A">
            <w:pPr>
              <w:widowControl w:val="0"/>
              <w:rPr>
                <w:rFonts w:cs="Times New Roman"/>
              </w:rPr>
            </w:pPr>
            <w:r w:rsidRPr="00EC14DE">
              <w:rPr>
                <w:rFonts w:cs="Times New Roman"/>
              </w:rPr>
              <w:t>200</w:t>
            </w:r>
          </w:p>
        </w:tc>
      </w:tr>
      <w:tr w:rsidR="009E1163" w:rsidRPr="00EC14DE" w14:paraId="5F3AB4BB" w14:textId="77777777" w:rsidTr="00C138FE">
        <w:trPr>
          <w:trHeight w:val="991"/>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76E124E3" w14:textId="77777777" w:rsidR="009E1163" w:rsidRPr="00EC14DE" w:rsidRDefault="009E1163" w:rsidP="003B509A">
            <w:pPr>
              <w:widowControl w:val="0"/>
              <w:rPr>
                <w:rFonts w:cs="Times New Roman"/>
              </w:rPr>
            </w:pPr>
            <w:r w:rsidRPr="00EC14DE">
              <w:rPr>
                <w:rFonts w:cs="Times New Roman"/>
              </w:rPr>
              <w:t>N. Magistrati ordinari in tirocinio</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36511260" w14:textId="77777777" w:rsidR="009E1163" w:rsidRPr="00EC14DE" w:rsidRDefault="009E1163" w:rsidP="003B509A">
            <w:pPr>
              <w:widowControl w:val="0"/>
              <w:rPr>
                <w:rFonts w:cs="Times New Roman"/>
              </w:rPr>
            </w:pPr>
            <w:r w:rsidRPr="00EC14DE">
              <w:rPr>
                <w:rFonts w:cs="Times New Roman"/>
              </w:rPr>
              <w:t>(numero pari a quello dei posti vacanti nell'organico)</w:t>
            </w:r>
          </w:p>
        </w:tc>
      </w:tr>
      <w:tr w:rsidR="009E1163" w:rsidRPr="00EC14DE" w14:paraId="62DBE482" w14:textId="77777777" w:rsidTr="00C138FE">
        <w:trPr>
          <w:trHeight w:val="243"/>
        </w:trPr>
        <w:tc>
          <w:tcPr>
            <w:tcW w:w="7136"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6A344B30" w14:textId="77777777" w:rsidR="009E1163" w:rsidRPr="00EC14DE" w:rsidRDefault="009E1163" w:rsidP="003B509A">
            <w:pPr>
              <w:widowControl w:val="0"/>
              <w:rPr>
                <w:rFonts w:cs="Times New Roman"/>
              </w:rPr>
            </w:pPr>
            <w:r w:rsidRPr="00EC14DE">
              <w:rPr>
                <w:rFonts w:cs="Times New Roman"/>
              </w:rPr>
              <w:t>TOTALE</w:t>
            </w:r>
          </w:p>
        </w:tc>
        <w:tc>
          <w:tcPr>
            <w:tcW w:w="2645" w:type="dxa"/>
            <w:tcBorders>
              <w:bottom w:val="single" w:sz="8" w:space="0" w:color="000000"/>
              <w:right w:val="single" w:sz="8" w:space="0" w:color="000000"/>
            </w:tcBorders>
            <w:tcMar>
              <w:top w:w="20" w:type="dxa"/>
              <w:left w:w="20" w:type="dxa"/>
              <w:bottom w:w="20" w:type="dxa"/>
              <w:right w:w="20" w:type="dxa"/>
            </w:tcMar>
            <w:vAlign w:val="center"/>
            <w:hideMark/>
          </w:tcPr>
          <w:p w14:paraId="733567CC" w14:textId="77777777" w:rsidR="009E1163" w:rsidRPr="00EC14DE" w:rsidRDefault="009E1163" w:rsidP="003B509A">
            <w:pPr>
              <w:widowControl w:val="0"/>
              <w:rPr>
                <w:rFonts w:cs="Times New Roman"/>
                <w:b/>
                <w:bCs/>
              </w:rPr>
            </w:pPr>
            <w:r w:rsidRPr="00EC14DE">
              <w:rPr>
                <w:rFonts w:cs="Times New Roman"/>
                <w:b/>
                <w:bCs/>
              </w:rPr>
              <w:t>10.853</w:t>
            </w:r>
          </w:p>
        </w:tc>
      </w:tr>
    </w:tbl>
    <w:p w14:paraId="28DA428B" w14:textId="77777777" w:rsidR="004C004F" w:rsidRPr="00EC14DE" w:rsidRDefault="004C004F" w:rsidP="007C594F">
      <w:pPr>
        <w:widowControl w:val="0"/>
        <w:rPr>
          <w:rFonts w:eastAsiaTheme="majorEastAsia" w:cstheme="majorBidi"/>
          <w:sz w:val="24"/>
          <w:szCs w:val="32"/>
        </w:rPr>
      </w:pPr>
    </w:p>
    <w:p w14:paraId="583796E0" w14:textId="77777777" w:rsidR="004C004F" w:rsidRPr="00EC14DE" w:rsidRDefault="004C004F" w:rsidP="004C004F">
      <w:r w:rsidRPr="00EC14DE">
        <w:br w:type="page"/>
      </w:r>
    </w:p>
    <w:p w14:paraId="67A3FB0B" w14:textId="77777777" w:rsidR="009E1163" w:rsidRPr="00EC14DE" w:rsidRDefault="001C1EA1" w:rsidP="007C594F">
      <w:pPr>
        <w:widowControl w:val="0"/>
        <w:rPr>
          <w:rFonts w:eastAsiaTheme="majorEastAsia" w:cstheme="majorBidi"/>
          <w:b/>
        </w:rPr>
      </w:pPr>
      <w:r w:rsidRPr="00EC14DE">
        <w:rPr>
          <w:rFonts w:eastAsiaTheme="majorEastAsia" w:cstheme="majorBidi"/>
          <w:b/>
        </w:rPr>
        <w:t xml:space="preserve">Allegati </w:t>
      </w:r>
      <w:r w:rsidR="009C2766" w:rsidRPr="00EC14DE">
        <w:rPr>
          <w:rFonts w:eastAsiaTheme="majorEastAsia" w:cstheme="majorBidi"/>
          <w:b/>
        </w:rPr>
        <w:t xml:space="preserve">8 </w:t>
      </w:r>
      <w:r w:rsidRPr="00EC14DE">
        <w:rPr>
          <w:rFonts w:eastAsiaTheme="majorEastAsia" w:cstheme="majorBidi"/>
          <w:b/>
        </w:rPr>
        <w:t xml:space="preserve">e </w:t>
      </w:r>
      <w:r w:rsidR="009C2766" w:rsidRPr="00EC14DE">
        <w:rPr>
          <w:rFonts w:eastAsiaTheme="majorEastAsia" w:cstheme="majorBidi"/>
          <w:b/>
        </w:rPr>
        <w:t xml:space="preserve">9 </w:t>
      </w:r>
      <w:r w:rsidRPr="00EC14DE">
        <w:rPr>
          <w:rFonts w:eastAsiaTheme="majorEastAsia" w:cstheme="majorBidi"/>
          <w:b/>
        </w:rPr>
        <w:t>- Articolo 1</w:t>
      </w:r>
      <w:r w:rsidR="00D43BC0" w:rsidRPr="00EC14DE">
        <w:rPr>
          <w:rFonts w:eastAsiaTheme="majorEastAsia" w:cstheme="majorBidi"/>
          <w:b/>
        </w:rPr>
        <w:t>9</w:t>
      </w:r>
      <w:r w:rsidR="008F587C" w:rsidRPr="00EC14DE">
        <w:rPr>
          <w:rFonts w:eastAsiaTheme="majorEastAsia" w:cstheme="majorBidi"/>
          <w:b/>
        </w:rPr>
        <w:t>3</w:t>
      </w:r>
      <w:r w:rsidR="00AC68FD" w:rsidRPr="00EC14DE">
        <w:rPr>
          <w:rFonts w:eastAsiaTheme="majorEastAsia" w:cstheme="majorBidi"/>
          <w:b/>
        </w:rPr>
        <w:t>,</w:t>
      </w:r>
      <w:r w:rsidR="004C004F" w:rsidRPr="00EC14DE">
        <w:rPr>
          <w:rFonts w:eastAsiaTheme="majorEastAsia" w:cstheme="majorBidi"/>
          <w:b/>
        </w:rPr>
        <w:t xml:space="preserve"> recante “Fondo per il finanziamento dei provvedimenti legislativi”</w:t>
      </w:r>
    </w:p>
    <w:p w14:paraId="18E2D5E0" w14:textId="77777777" w:rsidR="004C004F" w:rsidRPr="00EC14DE" w:rsidRDefault="004C004F" w:rsidP="007C594F">
      <w:pPr>
        <w:widowControl w:val="0"/>
        <w:rPr>
          <w:rFonts w:eastAsiaTheme="majorEastAsia" w:cstheme="majorBidi"/>
          <w:b/>
          <w:sz w:val="24"/>
          <w:szCs w:val="32"/>
        </w:rPr>
      </w:pPr>
    </w:p>
    <w:p w14:paraId="5133B609" w14:textId="77777777" w:rsidR="004C004F" w:rsidRPr="00EC14DE" w:rsidRDefault="004C004F" w:rsidP="007C594F">
      <w:pPr>
        <w:widowControl w:val="0"/>
        <w:rPr>
          <w:rFonts w:eastAsiaTheme="majorEastAsia" w:cstheme="majorBidi"/>
          <w:b/>
          <w:sz w:val="24"/>
          <w:szCs w:val="32"/>
        </w:rPr>
      </w:pPr>
    </w:p>
    <w:sectPr w:rsidR="004C004F" w:rsidRPr="00EC14DE" w:rsidSect="00444703">
      <w:headerReference w:type="default" r:id="rId37"/>
      <w:footerReference w:type="default" r:id="rId38"/>
      <w:pgSz w:w="11906" w:h="16838"/>
      <w:pgMar w:top="1276"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B1D1" w14:textId="77777777" w:rsidR="004A1A2F" w:rsidRDefault="004A1A2F" w:rsidP="00364AF8">
      <w:r>
        <w:separator/>
      </w:r>
    </w:p>
  </w:endnote>
  <w:endnote w:type="continuationSeparator" w:id="0">
    <w:p w14:paraId="6C8137DC" w14:textId="77777777" w:rsidR="004A1A2F" w:rsidRDefault="004A1A2F" w:rsidP="0036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Corpo CS)">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547097"/>
      <w:docPartObj>
        <w:docPartGallery w:val="Page Numbers (Bottom of Page)"/>
        <w:docPartUnique/>
      </w:docPartObj>
    </w:sdtPr>
    <w:sdtEndPr/>
    <w:sdtContent>
      <w:p w14:paraId="220A2653" w14:textId="77777777" w:rsidR="009B28A6" w:rsidRDefault="009B28A6">
        <w:pPr>
          <w:pStyle w:val="Pidipagina"/>
          <w:jc w:val="right"/>
        </w:pPr>
        <w:r>
          <w:fldChar w:fldCharType="begin"/>
        </w:r>
        <w:r>
          <w:instrText>PAGE   \* MERGEFORMAT</w:instrText>
        </w:r>
        <w:r>
          <w:fldChar w:fldCharType="separate"/>
        </w:r>
        <w:r w:rsidR="00444177">
          <w:rPr>
            <w:noProof/>
          </w:rPr>
          <w:t>31</w:t>
        </w:r>
        <w:r>
          <w:fldChar w:fldCharType="end"/>
        </w:r>
      </w:p>
    </w:sdtContent>
  </w:sdt>
  <w:p w14:paraId="7A6D0C73" w14:textId="77777777" w:rsidR="009B28A6" w:rsidRDefault="009B28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1E2E" w14:textId="77777777" w:rsidR="004A1A2F" w:rsidRDefault="004A1A2F" w:rsidP="00364AF8">
      <w:r>
        <w:separator/>
      </w:r>
    </w:p>
  </w:footnote>
  <w:footnote w:type="continuationSeparator" w:id="0">
    <w:p w14:paraId="5A7EB68B" w14:textId="77777777" w:rsidR="004A1A2F" w:rsidRDefault="004A1A2F" w:rsidP="0036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8B5A" w14:textId="77777777" w:rsidR="009B28A6" w:rsidRPr="00CE44D7" w:rsidRDefault="009B28A6" w:rsidP="008A6678">
    <w:pPr>
      <w:pStyle w:val="Intestazione"/>
      <w:tabs>
        <w:tab w:val="clear" w:pos="4819"/>
        <w:tab w:val="clear" w:pos="9638"/>
        <w:tab w:val="right" w:pos="14287"/>
      </w:tabs>
      <w:rPr>
        <w:sz w:val="24"/>
      </w:rPr>
    </w:pP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99EAAC0"/>
    <w:lvl w:ilvl="0">
      <w:start w:val="1"/>
      <w:numFmt w:val="bullet"/>
      <w:lvlText w:val=""/>
      <w:lvlJc w:val="left"/>
      <w:pPr>
        <w:tabs>
          <w:tab w:val="num" w:pos="720"/>
        </w:tabs>
        <w:ind w:left="720" w:hanging="360"/>
      </w:pPr>
      <w:rPr>
        <w:rFonts w:ascii="Symbol" w:hAnsi="Symbol" w:cs="OpenSymbol"/>
        <w:caps w:val="0"/>
        <w:smallCaps w:val="0"/>
        <w:color w:val="auto"/>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C9211E"/>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C9211E"/>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Times New Roman" w:hAnsi="Times New Roman" w:hint="default"/>
        <w:sz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aps w:val="0"/>
        <w:smallCaps w:val="0"/>
        <w:color w:val="444444"/>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444444"/>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444444"/>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A44086"/>
    <w:multiLevelType w:val="hybridMultilevel"/>
    <w:tmpl w:val="0F487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26A510A"/>
    <w:multiLevelType w:val="hybridMultilevel"/>
    <w:tmpl w:val="63866EA4"/>
    <w:lvl w:ilvl="0" w:tplc="FDFC516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4096F38"/>
    <w:multiLevelType w:val="hybridMultilevel"/>
    <w:tmpl w:val="F23A4D60"/>
    <w:lvl w:ilvl="0" w:tplc="2ABE0F0E">
      <w:numFmt w:val="bullet"/>
      <w:lvlText w:val="-"/>
      <w:lvlJc w:val="left"/>
      <w:pPr>
        <w:ind w:left="720" w:hanging="360"/>
      </w:pPr>
      <w:rPr>
        <w:rFonts w:ascii="Times New Roman" w:eastAsia="Calibri" w:hAnsi="Times New Roman" w:cs="Times New Roman"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6A8167A"/>
    <w:multiLevelType w:val="hybridMultilevel"/>
    <w:tmpl w:val="021C60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600FE9"/>
    <w:multiLevelType w:val="hybridMultilevel"/>
    <w:tmpl w:val="1C041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8403715"/>
    <w:multiLevelType w:val="multilevel"/>
    <w:tmpl w:val="DB446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87D563D"/>
    <w:multiLevelType w:val="hybridMultilevel"/>
    <w:tmpl w:val="369C64C0"/>
    <w:styleLink w:val="Stileimportato3"/>
    <w:lvl w:ilvl="0" w:tplc="7D2A1132">
      <w:start w:val="1"/>
      <w:numFmt w:val="lowerRoman"/>
      <w:lvlText w:val="%1)"/>
      <w:lvlJc w:val="left"/>
      <w:pPr>
        <w:tabs>
          <w:tab w:val="left" w:pos="621"/>
        </w:tabs>
        <w:ind w:left="110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D070EE">
      <w:start w:val="1"/>
      <w:numFmt w:val="lowerRoman"/>
      <w:lvlText w:val="%2)"/>
      <w:lvlJc w:val="left"/>
      <w:pPr>
        <w:tabs>
          <w:tab w:val="left" w:pos="621"/>
        </w:tabs>
        <w:ind w:left="122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2B4EB4C">
      <w:start w:val="1"/>
      <w:numFmt w:val="lowerRoman"/>
      <w:lvlText w:val="%3)"/>
      <w:lvlJc w:val="left"/>
      <w:pPr>
        <w:tabs>
          <w:tab w:val="left" w:pos="621"/>
        </w:tabs>
        <w:ind w:left="194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C2874A">
      <w:start w:val="1"/>
      <w:numFmt w:val="lowerRoman"/>
      <w:lvlText w:val="%4)"/>
      <w:lvlJc w:val="left"/>
      <w:pPr>
        <w:tabs>
          <w:tab w:val="left" w:pos="621"/>
        </w:tabs>
        <w:ind w:left="266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7E09480">
      <w:start w:val="1"/>
      <w:numFmt w:val="lowerRoman"/>
      <w:lvlText w:val="%5)"/>
      <w:lvlJc w:val="left"/>
      <w:pPr>
        <w:tabs>
          <w:tab w:val="left" w:pos="621"/>
        </w:tabs>
        <w:ind w:left="338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DAC78FE">
      <w:start w:val="1"/>
      <w:numFmt w:val="lowerRoman"/>
      <w:lvlText w:val="%6)"/>
      <w:lvlJc w:val="left"/>
      <w:pPr>
        <w:tabs>
          <w:tab w:val="left" w:pos="621"/>
        </w:tabs>
        <w:ind w:left="410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160D04">
      <w:start w:val="1"/>
      <w:numFmt w:val="lowerRoman"/>
      <w:lvlText w:val="%7)"/>
      <w:lvlJc w:val="left"/>
      <w:pPr>
        <w:tabs>
          <w:tab w:val="left" w:pos="621"/>
        </w:tabs>
        <w:ind w:left="482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DCCCD8">
      <w:start w:val="1"/>
      <w:numFmt w:val="lowerRoman"/>
      <w:lvlText w:val="%8)"/>
      <w:lvlJc w:val="left"/>
      <w:pPr>
        <w:tabs>
          <w:tab w:val="left" w:pos="621"/>
        </w:tabs>
        <w:ind w:left="554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62DB44">
      <w:start w:val="1"/>
      <w:numFmt w:val="lowerRoman"/>
      <w:lvlText w:val="%9)"/>
      <w:lvlJc w:val="left"/>
      <w:pPr>
        <w:tabs>
          <w:tab w:val="left" w:pos="621"/>
        </w:tabs>
        <w:ind w:left="626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98C76F3"/>
    <w:multiLevelType w:val="hybridMultilevel"/>
    <w:tmpl w:val="27A41548"/>
    <w:lvl w:ilvl="0" w:tplc="F15E5EB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09A12077"/>
    <w:multiLevelType w:val="hybridMultilevel"/>
    <w:tmpl w:val="66206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ACE2027"/>
    <w:multiLevelType w:val="hybridMultilevel"/>
    <w:tmpl w:val="71C645D0"/>
    <w:lvl w:ilvl="0" w:tplc="04100001">
      <w:start w:val="1"/>
      <w:numFmt w:val="bullet"/>
      <w:lvlText w:val=""/>
      <w:lvlJc w:val="left"/>
      <w:pPr>
        <w:ind w:left="787" w:hanging="360"/>
      </w:pPr>
      <w:rPr>
        <w:rFonts w:ascii="Symbol" w:hAnsi="Symbol" w:hint="default"/>
      </w:rPr>
    </w:lvl>
    <w:lvl w:ilvl="1" w:tplc="04100003">
      <w:start w:val="1"/>
      <w:numFmt w:val="bullet"/>
      <w:lvlText w:val="o"/>
      <w:lvlJc w:val="left"/>
      <w:pPr>
        <w:ind w:left="1507" w:hanging="360"/>
      </w:pPr>
      <w:rPr>
        <w:rFonts w:ascii="Courier New" w:hAnsi="Courier New" w:cs="Courier New" w:hint="default"/>
      </w:rPr>
    </w:lvl>
    <w:lvl w:ilvl="2" w:tplc="04100005">
      <w:start w:val="1"/>
      <w:numFmt w:val="bullet"/>
      <w:lvlText w:val=""/>
      <w:lvlJc w:val="left"/>
      <w:pPr>
        <w:ind w:left="2227" w:hanging="360"/>
      </w:pPr>
      <w:rPr>
        <w:rFonts w:ascii="Wingdings" w:hAnsi="Wingdings" w:hint="default"/>
      </w:rPr>
    </w:lvl>
    <w:lvl w:ilvl="3" w:tplc="04100001">
      <w:start w:val="1"/>
      <w:numFmt w:val="bullet"/>
      <w:lvlText w:val=""/>
      <w:lvlJc w:val="left"/>
      <w:pPr>
        <w:ind w:left="2947" w:hanging="360"/>
      </w:pPr>
      <w:rPr>
        <w:rFonts w:ascii="Symbol" w:hAnsi="Symbol" w:hint="default"/>
      </w:rPr>
    </w:lvl>
    <w:lvl w:ilvl="4" w:tplc="04100003">
      <w:start w:val="1"/>
      <w:numFmt w:val="bullet"/>
      <w:lvlText w:val="o"/>
      <w:lvlJc w:val="left"/>
      <w:pPr>
        <w:ind w:left="3667" w:hanging="360"/>
      </w:pPr>
      <w:rPr>
        <w:rFonts w:ascii="Courier New" w:hAnsi="Courier New" w:cs="Courier New" w:hint="default"/>
      </w:rPr>
    </w:lvl>
    <w:lvl w:ilvl="5" w:tplc="04100005">
      <w:start w:val="1"/>
      <w:numFmt w:val="bullet"/>
      <w:lvlText w:val=""/>
      <w:lvlJc w:val="left"/>
      <w:pPr>
        <w:ind w:left="4387" w:hanging="360"/>
      </w:pPr>
      <w:rPr>
        <w:rFonts w:ascii="Wingdings" w:hAnsi="Wingdings" w:hint="default"/>
      </w:rPr>
    </w:lvl>
    <w:lvl w:ilvl="6" w:tplc="04100001">
      <w:start w:val="1"/>
      <w:numFmt w:val="bullet"/>
      <w:lvlText w:val=""/>
      <w:lvlJc w:val="left"/>
      <w:pPr>
        <w:ind w:left="5107" w:hanging="360"/>
      </w:pPr>
      <w:rPr>
        <w:rFonts w:ascii="Symbol" w:hAnsi="Symbol" w:hint="default"/>
      </w:rPr>
    </w:lvl>
    <w:lvl w:ilvl="7" w:tplc="04100003">
      <w:start w:val="1"/>
      <w:numFmt w:val="bullet"/>
      <w:lvlText w:val="o"/>
      <w:lvlJc w:val="left"/>
      <w:pPr>
        <w:ind w:left="5827" w:hanging="360"/>
      </w:pPr>
      <w:rPr>
        <w:rFonts w:ascii="Courier New" w:hAnsi="Courier New" w:cs="Courier New" w:hint="default"/>
      </w:rPr>
    </w:lvl>
    <w:lvl w:ilvl="8" w:tplc="04100005">
      <w:start w:val="1"/>
      <w:numFmt w:val="bullet"/>
      <w:lvlText w:val=""/>
      <w:lvlJc w:val="left"/>
      <w:pPr>
        <w:ind w:left="6547" w:hanging="360"/>
      </w:pPr>
      <w:rPr>
        <w:rFonts w:ascii="Wingdings" w:hAnsi="Wingdings" w:hint="default"/>
      </w:rPr>
    </w:lvl>
  </w:abstractNum>
  <w:abstractNum w:abstractNumId="15" w15:restartNumberingAfterBreak="0">
    <w:nsid w:val="110348A0"/>
    <w:multiLevelType w:val="hybridMultilevel"/>
    <w:tmpl w:val="752ED2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1534053"/>
    <w:multiLevelType w:val="hybridMultilevel"/>
    <w:tmpl w:val="D1B228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20E5FEE"/>
    <w:multiLevelType w:val="hybridMultilevel"/>
    <w:tmpl w:val="CED091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318441D"/>
    <w:multiLevelType w:val="hybridMultilevel"/>
    <w:tmpl w:val="BE74D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9D4108B"/>
    <w:multiLevelType w:val="hybridMultilevel"/>
    <w:tmpl w:val="A392C274"/>
    <w:lvl w:ilvl="0" w:tplc="04100001">
      <w:start w:val="1"/>
      <w:numFmt w:val="bullet"/>
      <w:lvlText w:val=""/>
      <w:lvlJc w:val="left"/>
      <w:pPr>
        <w:ind w:left="1488" w:hanging="360"/>
      </w:pPr>
      <w:rPr>
        <w:rFonts w:ascii="Symbol" w:hAnsi="Symbol"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20" w15:restartNumberingAfterBreak="0">
    <w:nsid w:val="1AA9779A"/>
    <w:multiLevelType w:val="hybridMultilevel"/>
    <w:tmpl w:val="42D43BA4"/>
    <w:styleLink w:val="Stileimportato2"/>
    <w:lvl w:ilvl="0" w:tplc="5BB00620">
      <w:start w:val="1"/>
      <w:numFmt w:val="lowerLetter"/>
      <w:lvlText w:val="%1)"/>
      <w:lvlJc w:val="left"/>
      <w:pPr>
        <w:ind w:left="65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2604988">
      <w:start w:val="1"/>
      <w:numFmt w:val="lowerLetter"/>
      <w:lvlText w:val="%2)"/>
      <w:lvlJc w:val="left"/>
      <w:pPr>
        <w:ind w:left="137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434AB62">
      <w:start w:val="1"/>
      <w:numFmt w:val="lowerLetter"/>
      <w:lvlText w:val="%3)"/>
      <w:lvlJc w:val="left"/>
      <w:pPr>
        <w:ind w:left="209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6050BC">
      <w:start w:val="1"/>
      <w:numFmt w:val="lowerLetter"/>
      <w:lvlText w:val="%4)"/>
      <w:lvlJc w:val="left"/>
      <w:pPr>
        <w:ind w:left="281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E126C96">
      <w:start w:val="1"/>
      <w:numFmt w:val="lowerLetter"/>
      <w:lvlText w:val="%5)"/>
      <w:lvlJc w:val="left"/>
      <w:pPr>
        <w:ind w:left="353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606E6D4">
      <w:start w:val="1"/>
      <w:numFmt w:val="lowerLetter"/>
      <w:lvlText w:val="%6)"/>
      <w:lvlJc w:val="left"/>
      <w:pPr>
        <w:ind w:left="425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45AFD60">
      <w:start w:val="1"/>
      <w:numFmt w:val="lowerLetter"/>
      <w:lvlText w:val="%7)"/>
      <w:lvlJc w:val="left"/>
      <w:pPr>
        <w:ind w:left="497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07A338C">
      <w:start w:val="1"/>
      <w:numFmt w:val="lowerLetter"/>
      <w:lvlText w:val="%8)"/>
      <w:lvlJc w:val="left"/>
      <w:pPr>
        <w:ind w:left="569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5DAF764">
      <w:start w:val="1"/>
      <w:numFmt w:val="lowerLetter"/>
      <w:lvlText w:val="%9)"/>
      <w:lvlJc w:val="left"/>
      <w:pPr>
        <w:ind w:left="641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E124F21"/>
    <w:multiLevelType w:val="hybridMultilevel"/>
    <w:tmpl w:val="D1A8CD9C"/>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22" w15:restartNumberingAfterBreak="0">
    <w:nsid w:val="20D71821"/>
    <w:multiLevelType w:val="hybridMultilevel"/>
    <w:tmpl w:val="12D82E50"/>
    <w:lvl w:ilvl="0" w:tplc="319E092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2333671"/>
    <w:multiLevelType w:val="hybridMultilevel"/>
    <w:tmpl w:val="B4E8A4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38B4C79"/>
    <w:multiLevelType w:val="hybridMultilevel"/>
    <w:tmpl w:val="EF32079C"/>
    <w:lvl w:ilvl="0" w:tplc="04100017">
      <w:start w:val="1"/>
      <w:numFmt w:val="lowerLetter"/>
      <w:lvlText w:val="%1)"/>
      <w:lvlJc w:val="left"/>
      <w:pPr>
        <w:ind w:left="1515" w:hanging="360"/>
      </w:pPr>
    </w:lvl>
    <w:lvl w:ilvl="1" w:tplc="04100019">
      <w:start w:val="1"/>
      <w:numFmt w:val="lowerLetter"/>
      <w:lvlText w:val="%2."/>
      <w:lvlJc w:val="left"/>
      <w:pPr>
        <w:ind w:left="2235" w:hanging="360"/>
      </w:pPr>
    </w:lvl>
    <w:lvl w:ilvl="2" w:tplc="0410001B">
      <w:start w:val="1"/>
      <w:numFmt w:val="lowerRoman"/>
      <w:lvlText w:val="%3."/>
      <w:lvlJc w:val="right"/>
      <w:pPr>
        <w:ind w:left="2955" w:hanging="180"/>
      </w:pPr>
    </w:lvl>
    <w:lvl w:ilvl="3" w:tplc="0410000F">
      <w:start w:val="1"/>
      <w:numFmt w:val="decimal"/>
      <w:lvlText w:val="%4."/>
      <w:lvlJc w:val="left"/>
      <w:pPr>
        <w:ind w:left="3675" w:hanging="360"/>
      </w:pPr>
    </w:lvl>
    <w:lvl w:ilvl="4" w:tplc="04100019">
      <w:start w:val="1"/>
      <w:numFmt w:val="lowerLetter"/>
      <w:lvlText w:val="%5."/>
      <w:lvlJc w:val="left"/>
      <w:pPr>
        <w:ind w:left="4395" w:hanging="360"/>
      </w:pPr>
    </w:lvl>
    <w:lvl w:ilvl="5" w:tplc="0410001B">
      <w:start w:val="1"/>
      <w:numFmt w:val="lowerRoman"/>
      <w:lvlText w:val="%6."/>
      <w:lvlJc w:val="right"/>
      <w:pPr>
        <w:ind w:left="5115" w:hanging="180"/>
      </w:pPr>
    </w:lvl>
    <w:lvl w:ilvl="6" w:tplc="0410000F">
      <w:start w:val="1"/>
      <w:numFmt w:val="decimal"/>
      <w:lvlText w:val="%7."/>
      <w:lvlJc w:val="left"/>
      <w:pPr>
        <w:ind w:left="5835" w:hanging="360"/>
      </w:pPr>
    </w:lvl>
    <w:lvl w:ilvl="7" w:tplc="04100019">
      <w:start w:val="1"/>
      <w:numFmt w:val="lowerLetter"/>
      <w:lvlText w:val="%8."/>
      <w:lvlJc w:val="left"/>
      <w:pPr>
        <w:ind w:left="6555" w:hanging="360"/>
      </w:pPr>
    </w:lvl>
    <w:lvl w:ilvl="8" w:tplc="0410001B">
      <w:start w:val="1"/>
      <w:numFmt w:val="lowerRoman"/>
      <w:lvlText w:val="%9."/>
      <w:lvlJc w:val="right"/>
      <w:pPr>
        <w:ind w:left="7275" w:hanging="180"/>
      </w:pPr>
    </w:lvl>
  </w:abstractNum>
  <w:abstractNum w:abstractNumId="25" w15:restartNumberingAfterBreak="0">
    <w:nsid w:val="25D93164"/>
    <w:multiLevelType w:val="multilevel"/>
    <w:tmpl w:val="215647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6496F5E"/>
    <w:multiLevelType w:val="hybridMultilevel"/>
    <w:tmpl w:val="8FD8D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6943953"/>
    <w:multiLevelType w:val="multilevel"/>
    <w:tmpl w:val="B2E22A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8B261F4"/>
    <w:multiLevelType w:val="hybridMultilevel"/>
    <w:tmpl w:val="50C4EE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9864596"/>
    <w:multiLevelType w:val="hybridMultilevel"/>
    <w:tmpl w:val="5E8ED01C"/>
    <w:lvl w:ilvl="0" w:tplc="15944C3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B797552"/>
    <w:multiLevelType w:val="hybridMultilevel"/>
    <w:tmpl w:val="D2E06D4E"/>
    <w:lvl w:ilvl="0" w:tplc="AE0ED526">
      <w:numFmt w:val="bullet"/>
      <w:lvlText w:val="-"/>
      <w:lvlJc w:val="left"/>
      <w:pPr>
        <w:ind w:left="720" w:hanging="360"/>
      </w:pPr>
      <w:rPr>
        <w:rFonts w:ascii="Verdana" w:eastAsia="Arial Unicode MS" w:hAnsi="Verdana"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2245D8F"/>
    <w:multiLevelType w:val="hybridMultilevel"/>
    <w:tmpl w:val="0CCA1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3730513"/>
    <w:multiLevelType w:val="hybridMultilevel"/>
    <w:tmpl w:val="CAB037C2"/>
    <w:lvl w:ilvl="0" w:tplc="1B4C783E">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3" w15:restartNumberingAfterBreak="0">
    <w:nsid w:val="35943336"/>
    <w:multiLevelType w:val="hybridMultilevel"/>
    <w:tmpl w:val="99A4CEA4"/>
    <w:lvl w:ilvl="0" w:tplc="628AC8A2">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5E95F5F"/>
    <w:multiLevelType w:val="hybridMultilevel"/>
    <w:tmpl w:val="C900ABA8"/>
    <w:lvl w:ilvl="0" w:tplc="04100001">
      <w:start w:val="1"/>
      <w:numFmt w:val="bullet"/>
      <w:lvlText w:val=""/>
      <w:lvlJc w:val="left"/>
      <w:pPr>
        <w:ind w:left="720" w:hanging="360"/>
      </w:pPr>
      <w:rPr>
        <w:rFonts w:ascii="Symbol" w:hAnsi="Symbol" w:hint="default"/>
      </w:rPr>
    </w:lvl>
    <w:lvl w:ilvl="1" w:tplc="FB8E3064">
      <w:numFmt w:val="bullet"/>
      <w:lvlText w:val="•"/>
      <w:lvlJc w:val="left"/>
      <w:pPr>
        <w:ind w:left="1785" w:hanging="705"/>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6D95008"/>
    <w:multiLevelType w:val="hybridMultilevel"/>
    <w:tmpl w:val="29EA5B1A"/>
    <w:lvl w:ilvl="0" w:tplc="5B94A494">
      <w:start w:val="1"/>
      <w:numFmt w:val="lowerLetter"/>
      <w:lvlText w:val="%1)"/>
      <w:lvlJc w:val="left"/>
      <w:pPr>
        <w:ind w:left="720" w:hanging="360"/>
      </w:pPr>
      <w:rPr>
        <w:rFonts w:ascii="Times New Roman" w:eastAsiaTheme="minorHAnsi" w:hAnsi="Times New Roman" w:cstheme="minorBid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383A3998"/>
    <w:multiLevelType w:val="hybridMultilevel"/>
    <w:tmpl w:val="B0B6A4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3AE534B0"/>
    <w:multiLevelType w:val="hybridMultilevel"/>
    <w:tmpl w:val="16C4D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B6A1CAA"/>
    <w:multiLevelType w:val="multilevel"/>
    <w:tmpl w:val="B80E6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B87672E"/>
    <w:multiLevelType w:val="hybridMultilevel"/>
    <w:tmpl w:val="365A9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C460214"/>
    <w:multiLevelType w:val="multilevel"/>
    <w:tmpl w:val="AD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DC02B7F"/>
    <w:multiLevelType w:val="hybridMultilevel"/>
    <w:tmpl w:val="E500AF26"/>
    <w:lvl w:ilvl="0" w:tplc="E30ABAF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3F60027E"/>
    <w:multiLevelType w:val="hybridMultilevel"/>
    <w:tmpl w:val="A26E0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FDD4B31"/>
    <w:multiLevelType w:val="hybridMultilevel"/>
    <w:tmpl w:val="535A31E0"/>
    <w:lvl w:ilvl="0" w:tplc="BCCEDA7A">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40640E02"/>
    <w:multiLevelType w:val="hybridMultilevel"/>
    <w:tmpl w:val="BC5A57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15:restartNumberingAfterBreak="0">
    <w:nsid w:val="4070548A"/>
    <w:multiLevelType w:val="hybridMultilevel"/>
    <w:tmpl w:val="FAD2F0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430E3EB5"/>
    <w:multiLevelType w:val="hybridMultilevel"/>
    <w:tmpl w:val="CD42D20C"/>
    <w:styleLink w:val="Stileimportato1"/>
    <w:lvl w:ilvl="0" w:tplc="C030ACCE">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64C5BCA">
      <w:start w:val="1"/>
      <w:numFmt w:val="lowerLetter"/>
      <w:lvlText w:val="%2."/>
      <w:lvlJc w:val="left"/>
      <w:pPr>
        <w:tabs>
          <w:tab w:val="num"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14E5B38">
      <w:start w:val="1"/>
      <w:numFmt w:val="lowerRoman"/>
      <w:lvlText w:val="%3."/>
      <w:lvlJc w:val="left"/>
      <w:pPr>
        <w:tabs>
          <w:tab w:val="num" w:pos="1800"/>
        </w:tabs>
        <w:ind w:left="1440" w:firstLine="75"/>
      </w:pPr>
      <w:rPr>
        <w:rFonts w:hAnsi="Arial Unicode MS"/>
        <w:caps w:val="0"/>
        <w:smallCaps w:val="0"/>
        <w:strike w:val="0"/>
        <w:dstrike w:val="0"/>
        <w:outline w:val="0"/>
        <w:emboss w:val="0"/>
        <w:imprint w:val="0"/>
        <w:spacing w:val="0"/>
        <w:w w:val="100"/>
        <w:kern w:val="0"/>
        <w:position w:val="0"/>
        <w:highlight w:val="none"/>
        <w:vertAlign w:val="baseline"/>
      </w:rPr>
    </w:lvl>
    <w:lvl w:ilvl="3" w:tplc="DC22B146">
      <w:start w:val="1"/>
      <w:numFmt w:val="decimal"/>
      <w:lvlText w:val="%4."/>
      <w:lvlJc w:val="left"/>
      <w:pPr>
        <w:tabs>
          <w:tab w:val="num" w:pos="252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196C12E">
      <w:start w:val="1"/>
      <w:numFmt w:val="lowerLetter"/>
      <w:lvlText w:val="%5."/>
      <w:lvlJc w:val="left"/>
      <w:pPr>
        <w:tabs>
          <w:tab w:val="num" w:pos="324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69C569C">
      <w:start w:val="1"/>
      <w:numFmt w:val="lowerRoman"/>
      <w:lvlText w:val="%6."/>
      <w:lvlJc w:val="left"/>
      <w:pPr>
        <w:tabs>
          <w:tab w:val="num" w:pos="3960"/>
        </w:tabs>
        <w:ind w:left="3600" w:firstLine="75"/>
      </w:pPr>
      <w:rPr>
        <w:rFonts w:hAnsi="Arial Unicode MS"/>
        <w:caps w:val="0"/>
        <w:smallCaps w:val="0"/>
        <w:strike w:val="0"/>
        <w:dstrike w:val="0"/>
        <w:outline w:val="0"/>
        <w:emboss w:val="0"/>
        <w:imprint w:val="0"/>
        <w:spacing w:val="0"/>
        <w:w w:val="100"/>
        <w:kern w:val="0"/>
        <w:position w:val="0"/>
        <w:highlight w:val="none"/>
        <w:vertAlign w:val="baseline"/>
      </w:rPr>
    </w:lvl>
    <w:lvl w:ilvl="6" w:tplc="2D5A34AA">
      <w:start w:val="1"/>
      <w:numFmt w:val="decimal"/>
      <w:lvlText w:val="%7."/>
      <w:lvlJc w:val="left"/>
      <w:pPr>
        <w:tabs>
          <w:tab w:val="num" w:pos="468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F5E272C">
      <w:start w:val="1"/>
      <w:numFmt w:val="lowerLetter"/>
      <w:lvlText w:val="%8."/>
      <w:lvlJc w:val="left"/>
      <w:pPr>
        <w:tabs>
          <w:tab w:val="num" w:pos="540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0A0FD22">
      <w:start w:val="1"/>
      <w:numFmt w:val="lowerRoman"/>
      <w:lvlText w:val="%9."/>
      <w:lvlJc w:val="left"/>
      <w:pPr>
        <w:tabs>
          <w:tab w:val="num" w:pos="6120"/>
        </w:tabs>
        <w:ind w:left="5760" w:firstLine="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3BE1B73"/>
    <w:multiLevelType w:val="hybridMultilevel"/>
    <w:tmpl w:val="5C7EB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4040E20"/>
    <w:multiLevelType w:val="hybridMultilevel"/>
    <w:tmpl w:val="29F61B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5DC453D"/>
    <w:multiLevelType w:val="hybridMultilevel"/>
    <w:tmpl w:val="6B0E8CFC"/>
    <w:lvl w:ilvl="0" w:tplc="41E20D54">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7C520E1"/>
    <w:multiLevelType w:val="hybridMultilevel"/>
    <w:tmpl w:val="5896E64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1" w15:restartNumberingAfterBreak="0">
    <w:nsid w:val="512378C7"/>
    <w:multiLevelType w:val="hybridMultilevel"/>
    <w:tmpl w:val="56EE734E"/>
    <w:lvl w:ilvl="0" w:tplc="F7BA5C52">
      <w:numFmt w:val="bullet"/>
      <w:lvlText w:val="-"/>
      <w:lvlJc w:val="left"/>
      <w:pPr>
        <w:ind w:left="396" w:hanging="284"/>
      </w:pPr>
      <w:rPr>
        <w:rFonts w:ascii="Times New Roman" w:eastAsia="Times New Roman" w:hAnsi="Times New Roman" w:cs="Times New Roman" w:hint="default"/>
        <w:spacing w:val="-2"/>
        <w:w w:val="99"/>
        <w:sz w:val="24"/>
        <w:szCs w:val="24"/>
        <w:lang w:val="it-IT" w:eastAsia="en-US" w:bidi="ar-SA"/>
      </w:rPr>
    </w:lvl>
    <w:lvl w:ilvl="1" w:tplc="53FC4F14">
      <w:numFmt w:val="bullet"/>
      <w:lvlText w:val="•"/>
      <w:lvlJc w:val="left"/>
      <w:pPr>
        <w:ind w:left="1346" w:hanging="284"/>
      </w:pPr>
      <w:rPr>
        <w:rFonts w:hint="default"/>
        <w:lang w:val="it-IT" w:eastAsia="en-US" w:bidi="ar-SA"/>
      </w:rPr>
    </w:lvl>
    <w:lvl w:ilvl="2" w:tplc="0792EAB0">
      <w:numFmt w:val="bullet"/>
      <w:lvlText w:val="•"/>
      <w:lvlJc w:val="left"/>
      <w:pPr>
        <w:ind w:left="2293" w:hanging="284"/>
      </w:pPr>
      <w:rPr>
        <w:rFonts w:hint="default"/>
        <w:lang w:val="it-IT" w:eastAsia="en-US" w:bidi="ar-SA"/>
      </w:rPr>
    </w:lvl>
    <w:lvl w:ilvl="3" w:tplc="ECD8C2B0">
      <w:numFmt w:val="bullet"/>
      <w:lvlText w:val="•"/>
      <w:lvlJc w:val="left"/>
      <w:pPr>
        <w:ind w:left="3239" w:hanging="284"/>
      </w:pPr>
      <w:rPr>
        <w:rFonts w:hint="default"/>
        <w:lang w:val="it-IT" w:eastAsia="en-US" w:bidi="ar-SA"/>
      </w:rPr>
    </w:lvl>
    <w:lvl w:ilvl="4" w:tplc="528AD4DC">
      <w:numFmt w:val="bullet"/>
      <w:lvlText w:val="•"/>
      <w:lvlJc w:val="left"/>
      <w:pPr>
        <w:ind w:left="4186" w:hanging="284"/>
      </w:pPr>
      <w:rPr>
        <w:rFonts w:hint="default"/>
        <w:lang w:val="it-IT" w:eastAsia="en-US" w:bidi="ar-SA"/>
      </w:rPr>
    </w:lvl>
    <w:lvl w:ilvl="5" w:tplc="AA9A4218">
      <w:numFmt w:val="bullet"/>
      <w:lvlText w:val="•"/>
      <w:lvlJc w:val="left"/>
      <w:pPr>
        <w:ind w:left="5133" w:hanging="284"/>
      </w:pPr>
      <w:rPr>
        <w:rFonts w:hint="default"/>
        <w:lang w:val="it-IT" w:eastAsia="en-US" w:bidi="ar-SA"/>
      </w:rPr>
    </w:lvl>
    <w:lvl w:ilvl="6" w:tplc="F98C3C04">
      <w:numFmt w:val="bullet"/>
      <w:lvlText w:val="•"/>
      <w:lvlJc w:val="left"/>
      <w:pPr>
        <w:ind w:left="6079" w:hanging="284"/>
      </w:pPr>
      <w:rPr>
        <w:rFonts w:hint="default"/>
        <w:lang w:val="it-IT" w:eastAsia="en-US" w:bidi="ar-SA"/>
      </w:rPr>
    </w:lvl>
    <w:lvl w:ilvl="7" w:tplc="F7F2CBFC">
      <w:numFmt w:val="bullet"/>
      <w:lvlText w:val="•"/>
      <w:lvlJc w:val="left"/>
      <w:pPr>
        <w:ind w:left="7026" w:hanging="284"/>
      </w:pPr>
      <w:rPr>
        <w:rFonts w:hint="default"/>
        <w:lang w:val="it-IT" w:eastAsia="en-US" w:bidi="ar-SA"/>
      </w:rPr>
    </w:lvl>
    <w:lvl w:ilvl="8" w:tplc="0CBCF51E">
      <w:numFmt w:val="bullet"/>
      <w:lvlText w:val="•"/>
      <w:lvlJc w:val="left"/>
      <w:pPr>
        <w:ind w:left="7973" w:hanging="284"/>
      </w:pPr>
      <w:rPr>
        <w:rFonts w:hint="default"/>
        <w:lang w:val="it-IT" w:eastAsia="en-US" w:bidi="ar-SA"/>
      </w:rPr>
    </w:lvl>
  </w:abstractNum>
  <w:abstractNum w:abstractNumId="52" w15:restartNumberingAfterBreak="0">
    <w:nsid w:val="53883E22"/>
    <w:multiLevelType w:val="hybridMultilevel"/>
    <w:tmpl w:val="7882B2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449389B"/>
    <w:multiLevelType w:val="hybridMultilevel"/>
    <w:tmpl w:val="820228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59E55AD"/>
    <w:multiLevelType w:val="hybridMultilevel"/>
    <w:tmpl w:val="50C05B7A"/>
    <w:lvl w:ilvl="0" w:tplc="1B4C783E">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55" w15:restartNumberingAfterBreak="0">
    <w:nsid w:val="55C52626"/>
    <w:multiLevelType w:val="hybridMultilevel"/>
    <w:tmpl w:val="4E545686"/>
    <w:lvl w:ilvl="0" w:tplc="54DA9DBA">
      <w:start w:val="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6152FC5"/>
    <w:multiLevelType w:val="hybridMultilevel"/>
    <w:tmpl w:val="494AFC54"/>
    <w:lvl w:ilvl="0" w:tplc="B92A059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7617628"/>
    <w:multiLevelType w:val="hybridMultilevel"/>
    <w:tmpl w:val="5F906A80"/>
    <w:lvl w:ilvl="0" w:tplc="9FA64AB6">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8" w15:restartNumberingAfterBreak="0">
    <w:nsid w:val="576A4227"/>
    <w:multiLevelType w:val="hybridMultilevel"/>
    <w:tmpl w:val="E42ACE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EAB0D07"/>
    <w:multiLevelType w:val="hybridMultilevel"/>
    <w:tmpl w:val="A59A9F6E"/>
    <w:lvl w:ilvl="0" w:tplc="1B7A841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3644183"/>
    <w:multiLevelType w:val="hybridMultilevel"/>
    <w:tmpl w:val="A8A0874C"/>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1" w15:restartNumberingAfterBreak="0">
    <w:nsid w:val="679E6FF1"/>
    <w:multiLevelType w:val="hybridMultilevel"/>
    <w:tmpl w:val="93A4A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A7F55A3"/>
    <w:multiLevelType w:val="hybridMultilevel"/>
    <w:tmpl w:val="065413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B9A37A5"/>
    <w:multiLevelType w:val="hybridMultilevel"/>
    <w:tmpl w:val="455A21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BC2329C"/>
    <w:multiLevelType w:val="hybridMultilevel"/>
    <w:tmpl w:val="964EC08C"/>
    <w:lvl w:ilvl="0" w:tplc="1F28A3BC">
      <w:start w:val="3"/>
      <w:numFmt w:val="bullet"/>
      <w:lvlText w:val="-"/>
      <w:lvlJc w:val="left"/>
      <w:pPr>
        <w:ind w:left="720" w:hanging="360"/>
      </w:pPr>
      <w:rPr>
        <w:rFonts w:ascii="Times New Roman" w:eastAsiaTheme="minorHAnsi" w:hAnsi="Times New Roman" w:cs="Times New Roman" w:hint="default"/>
      </w:rPr>
    </w:lvl>
    <w:lvl w:ilvl="1" w:tplc="04100001">
      <w:start w:val="1"/>
      <w:numFmt w:val="bullet"/>
      <w:lvlText w:val=""/>
      <w:lvlJc w:val="left"/>
      <w:pPr>
        <w:ind w:left="644"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BCD5E31"/>
    <w:multiLevelType w:val="hybridMultilevel"/>
    <w:tmpl w:val="9438D126"/>
    <w:lvl w:ilvl="0" w:tplc="59BE38C8">
      <w:numFmt w:val="bullet"/>
      <w:lvlText w:val=""/>
      <w:lvlJc w:val="left"/>
      <w:pPr>
        <w:ind w:left="538" w:hanging="426"/>
      </w:pPr>
      <w:rPr>
        <w:rFonts w:ascii="Symbol" w:eastAsia="Symbol" w:hAnsi="Symbol" w:cs="Symbol" w:hint="default"/>
        <w:w w:val="100"/>
        <w:sz w:val="24"/>
        <w:szCs w:val="24"/>
        <w:lang w:val="it-IT" w:eastAsia="en-US" w:bidi="ar-SA"/>
      </w:rPr>
    </w:lvl>
    <w:lvl w:ilvl="1" w:tplc="B33EE9B6">
      <w:start w:val="1"/>
      <w:numFmt w:val="lowerLetter"/>
      <w:lvlText w:val="%2)"/>
      <w:lvlJc w:val="left"/>
      <w:pPr>
        <w:ind w:left="833" w:hanging="296"/>
      </w:pPr>
      <w:rPr>
        <w:rFonts w:ascii="Times New Roman" w:eastAsia="Times New Roman" w:hAnsi="Times New Roman" w:cs="Times New Roman" w:hint="default"/>
        <w:spacing w:val="-30"/>
        <w:w w:val="99"/>
        <w:sz w:val="24"/>
        <w:szCs w:val="24"/>
        <w:lang w:val="it-IT" w:eastAsia="en-US" w:bidi="ar-SA"/>
      </w:rPr>
    </w:lvl>
    <w:lvl w:ilvl="2" w:tplc="9B1E33E8">
      <w:numFmt w:val="bullet"/>
      <w:lvlText w:val=""/>
      <w:lvlJc w:val="left"/>
      <w:pPr>
        <w:ind w:left="1106" w:hanging="286"/>
      </w:pPr>
      <w:rPr>
        <w:rFonts w:ascii="Symbol" w:eastAsia="Symbol" w:hAnsi="Symbol" w:cs="Symbol" w:hint="default"/>
        <w:w w:val="100"/>
        <w:sz w:val="24"/>
        <w:szCs w:val="24"/>
        <w:lang w:val="it-IT" w:eastAsia="en-US" w:bidi="ar-SA"/>
      </w:rPr>
    </w:lvl>
    <w:lvl w:ilvl="3" w:tplc="ADEA7142">
      <w:numFmt w:val="bullet"/>
      <w:lvlText w:val="•"/>
      <w:lvlJc w:val="left"/>
      <w:pPr>
        <w:ind w:left="2195" w:hanging="286"/>
      </w:pPr>
      <w:rPr>
        <w:rFonts w:hint="default"/>
        <w:lang w:val="it-IT" w:eastAsia="en-US" w:bidi="ar-SA"/>
      </w:rPr>
    </w:lvl>
    <w:lvl w:ilvl="4" w:tplc="4C98DAF2">
      <w:numFmt w:val="bullet"/>
      <w:lvlText w:val="•"/>
      <w:lvlJc w:val="left"/>
      <w:pPr>
        <w:ind w:left="3291" w:hanging="286"/>
      </w:pPr>
      <w:rPr>
        <w:rFonts w:hint="default"/>
        <w:lang w:val="it-IT" w:eastAsia="en-US" w:bidi="ar-SA"/>
      </w:rPr>
    </w:lvl>
    <w:lvl w:ilvl="5" w:tplc="218C4972">
      <w:numFmt w:val="bullet"/>
      <w:lvlText w:val="•"/>
      <w:lvlJc w:val="left"/>
      <w:pPr>
        <w:ind w:left="4387" w:hanging="286"/>
      </w:pPr>
      <w:rPr>
        <w:rFonts w:hint="default"/>
        <w:lang w:val="it-IT" w:eastAsia="en-US" w:bidi="ar-SA"/>
      </w:rPr>
    </w:lvl>
    <w:lvl w:ilvl="6" w:tplc="F69084E2">
      <w:numFmt w:val="bullet"/>
      <w:lvlText w:val="•"/>
      <w:lvlJc w:val="left"/>
      <w:pPr>
        <w:ind w:left="5483" w:hanging="286"/>
      </w:pPr>
      <w:rPr>
        <w:rFonts w:hint="default"/>
        <w:lang w:val="it-IT" w:eastAsia="en-US" w:bidi="ar-SA"/>
      </w:rPr>
    </w:lvl>
    <w:lvl w:ilvl="7" w:tplc="598E2B1A">
      <w:numFmt w:val="bullet"/>
      <w:lvlText w:val="•"/>
      <w:lvlJc w:val="left"/>
      <w:pPr>
        <w:ind w:left="6579" w:hanging="286"/>
      </w:pPr>
      <w:rPr>
        <w:rFonts w:hint="default"/>
        <w:lang w:val="it-IT" w:eastAsia="en-US" w:bidi="ar-SA"/>
      </w:rPr>
    </w:lvl>
    <w:lvl w:ilvl="8" w:tplc="E764AE6A">
      <w:numFmt w:val="bullet"/>
      <w:lvlText w:val="•"/>
      <w:lvlJc w:val="left"/>
      <w:pPr>
        <w:ind w:left="7674" w:hanging="286"/>
      </w:pPr>
      <w:rPr>
        <w:rFonts w:hint="default"/>
        <w:lang w:val="it-IT" w:eastAsia="en-US" w:bidi="ar-SA"/>
      </w:rPr>
    </w:lvl>
  </w:abstractNum>
  <w:abstractNum w:abstractNumId="66" w15:restartNumberingAfterBreak="0">
    <w:nsid w:val="6C6B09F3"/>
    <w:multiLevelType w:val="hybridMultilevel"/>
    <w:tmpl w:val="DC346B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7" w15:restartNumberingAfterBreak="0">
    <w:nsid w:val="733914B4"/>
    <w:multiLevelType w:val="hybridMultilevel"/>
    <w:tmpl w:val="B91CE1BA"/>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8" w15:restartNumberingAfterBreak="0">
    <w:nsid w:val="77B52BEF"/>
    <w:multiLevelType w:val="hybridMultilevel"/>
    <w:tmpl w:val="A00ED5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7D15238"/>
    <w:multiLevelType w:val="hybridMultilevel"/>
    <w:tmpl w:val="D9D2F4A8"/>
    <w:lvl w:ilvl="0" w:tplc="EDF6B14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A364ED4"/>
    <w:multiLevelType w:val="hybridMultilevel"/>
    <w:tmpl w:val="B784BDCE"/>
    <w:lvl w:ilvl="0" w:tplc="04100005">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71" w15:restartNumberingAfterBreak="0">
    <w:nsid w:val="7B0C3C0C"/>
    <w:multiLevelType w:val="hybridMultilevel"/>
    <w:tmpl w:val="8DB24D8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2" w15:restartNumberingAfterBreak="0">
    <w:nsid w:val="7C187B61"/>
    <w:multiLevelType w:val="hybridMultilevel"/>
    <w:tmpl w:val="134CA572"/>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3" w15:restartNumberingAfterBreak="0">
    <w:nsid w:val="7F89728E"/>
    <w:multiLevelType w:val="hybridMultilevel"/>
    <w:tmpl w:val="0E8C93D2"/>
    <w:lvl w:ilvl="0" w:tplc="14F8B228">
      <w:start w:val="1"/>
      <w:numFmt w:val="bullet"/>
      <w:lvlText w:val="-"/>
      <w:lvlJc w:val="left"/>
      <w:pPr>
        <w:ind w:left="360" w:hanging="360"/>
      </w:pPr>
      <w:rPr>
        <w:rFonts w:ascii="CIDFont+F1" w:eastAsia="Calibri" w:hAnsi="CIDFont+F1" w:cs="CIDFont+F1"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46"/>
  </w:num>
  <w:num w:numId="2">
    <w:abstractNumId w:val="20"/>
  </w:num>
  <w:num w:numId="3">
    <w:abstractNumId w:val="11"/>
  </w:num>
  <w:num w:numId="4">
    <w:abstractNumId w:val="37"/>
  </w:num>
  <w:num w:numId="5">
    <w:abstractNumId w:val="14"/>
  </w:num>
  <w:num w:numId="6">
    <w:abstractNumId w:val="62"/>
  </w:num>
  <w:num w:numId="7">
    <w:abstractNumId w:val="64"/>
  </w:num>
  <w:num w:numId="8">
    <w:abstractNumId w:val="9"/>
  </w:num>
  <w:num w:numId="9">
    <w:abstractNumId w:val="10"/>
  </w:num>
  <w:num w:numId="10">
    <w:abstractNumId w:val="13"/>
  </w:num>
  <w:num w:numId="11">
    <w:abstractNumId w:val="31"/>
  </w:num>
  <w:num w:numId="12">
    <w:abstractNumId w:val="45"/>
  </w:num>
  <w:num w:numId="13">
    <w:abstractNumId w:val="6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num>
  <w:num w:numId="16">
    <w:abstractNumId w:val="8"/>
  </w:num>
  <w:num w:numId="17">
    <w:abstractNumId w:val="48"/>
  </w:num>
  <w:num w:numId="18">
    <w:abstractNumId w:val="68"/>
  </w:num>
  <w:num w:numId="19">
    <w:abstractNumId w:val="63"/>
  </w:num>
  <w:num w:numId="20">
    <w:abstractNumId w:val="49"/>
  </w:num>
  <w:num w:numId="21">
    <w:abstractNumId w:val="17"/>
  </w:num>
  <w:num w:numId="22">
    <w:abstractNumId w:val="28"/>
  </w:num>
  <w:num w:numId="23">
    <w:abstractNumId w:val="65"/>
  </w:num>
  <w:num w:numId="24">
    <w:abstractNumId w:val="51"/>
  </w:num>
  <w:num w:numId="25">
    <w:abstractNumId w:val="7"/>
  </w:num>
  <w:num w:numId="26">
    <w:abstractNumId w:val="30"/>
  </w:num>
  <w:num w:numId="27">
    <w:abstractNumId w:val="2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2"/>
  </w:num>
  <w:num w:numId="32">
    <w:abstractNumId w:val="53"/>
  </w:num>
  <w:num w:numId="33">
    <w:abstractNumId w:val="35"/>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3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67"/>
  </w:num>
  <w:num w:numId="42">
    <w:abstractNumId w:val="6"/>
  </w:num>
  <w:num w:numId="43">
    <w:abstractNumId w:val="0"/>
  </w:num>
  <w:num w:numId="44">
    <w:abstractNumId w:val="1"/>
  </w:num>
  <w:num w:numId="45">
    <w:abstractNumId w:val="2"/>
  </w:num>
  <w:num w:numId="46">
    <w:abstractNumId w:val="3"/>
  </w:num>
  <w:num w:numId="47">
    <w:abstractNumId w:val="4"/>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54"/>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69"/>
  </w:num>
  <w:num w:numId="56">
    <w:abstractNumId w:val="72"/>
  </w:num>
  <w:num w:numId="57">
    <w:abstractNumId w:val="70"/>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34"/>
  </w:num>
  <w:num w:numId="61">
    <w:abstractNumId w:val="42"/>
  </w:num>
  <w:num w:numId="62">
    <w:abstractNumId w:val="39"/>
  </w:num>
  <w:num w:numId="63">
    <w:abstractNumId w:val="61"/>
  </w:num>
  <w:num w:numId="64">
    <w:abstractNumId w:val="26"/>
  </w:num>
  <w:num w:numId="65">
    <w:abstractNumId w:val="5"/>
  </w:num>
  <w:num w:numId="66">
    <w:abstractNumId w:val="40"/>
  </w:num>
  <w:num w:numId="67">
    <w:abstractNumId w:val="25"/>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num>
  <w:num w:numId="70">
    <w:abstractNumId w:val="41"/>
  </w:num>
  <w:num w:numId="71">
    <w:abstractNumId w:val="73"/>
  </w:num>
  <w:num w:numId="72">
    <w:abstractNumId w:val="71"/>
  </w:num>
  <w:num w:numId="73">
    <w:abstractNumId w:val="55"/>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readOnly" w:formatting="1" w:enforcement="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FE"/>
    <w:rsid w:val="00000155"/>
    <w:rsid w:val="0000018F"/>
    <w:rsid w:val="000002E2"/>
    <w:rsid w:val="00000538"/>
    <w:rsid w:val="00000616"/>
    <w:rsid w:val="00001200"/>
    <w:rsid w:val="000012E8"/>
    <w:rsid w:val="0000151B"/>
    <w:rsid w:val="00001837"/>
    <w:rsid w:val="00001911"/>
    <w:rsid w:val="000019EC"/>
    <w:rsid w:val="00002809"/>
    <w:rsid w:val="00002977"/>
    <w:rsid w:val="0000297A"/>
    <w:rsid w:val="000030BA"/>
    <w:rsid w:val="00004152"/>
    <w:rsid w:val="00004F0F"/>
    <w:rsid w:val="00004F29"/>
    <w:rsid w:val="000050E7"/>
    <w:rsid w:val="0000535F"/>
    <w:rsid w:val="00005384"/>
    <w:rsid w:val="00005D13"/>
    <w:rsid w:val="00005F5B"/>
    <w:rsid w:val="000066BC"/>
    <w:rsid w:val="0000685A"/>
    <w:rsid w:val="00006AEC"/>
    <w:rsid w:val="000077A9"/>
    <w:rsid w:val="0000787C"/>
    <w:rsid w:val="00007998"/>
    <w:rsid w:val="00007F62"/>
    <w:rsid w:val="000100C4"/>
    <w:rsid w:val="00010BFB"/>
    <w:rsid w:val="000111E4"/>
    <w:rsid w:val="00011617"/>
    <w:rsid w:val="000121CE"/>
    <w:rsid w:val="00012412"/>
    <w:rsid w:val="00012960"/>
    <w:rsid w:val="000129E0"/>
    <w:rsid w:val="000132C8"/>
    <w:rsid w:val="00013A79"/>
    <w:rsid w:val="00013DD6"/>
    <w:rsid w:val="000141DD"/>
    <w:rsid w:val="000148DF"/>
    <w:rsid w:val="00014FD5"/>
    <w:rsid w:val="00015060"/>
    <w:rsid w:val="00015567"/>
    <w:rsid w:val="000156DC"/>
    <w:rsid w:val="00015848"/>
    <w:rsid w:val="00015C6E"/>
    <w:rsid w:val="000160C7"/>
    <w:rsid w:val="000163A8"/>
    <w:rsid w:val="00016CA7"/>
    <w:rsid w:val="00016D5C"/>
    <w:rsid w:val="00016E9F"/>
    <w:rsid w:val="00017765"/>
    <w:rsid w:val="00017807"/>
    <w:rsid w:val="00017F9E"/>
    <w:rsid w:val="00020013"/>
    <w:rsid w:val="00020116"/>
    <w:rsid w:val="000203EA"/>
    <w:rsid w:val="00020DA7"/>
    <w:rsid w:val="0002106E"/>
    <w:rsid w:val="000225E3"/>
    <w:rsid w:val="00022F08"/>
    <w:rsid w:val="0002367F"/>
    <w:rsid w:val="00023A02"/>
    <w:rsid w:val="00023B7B"/>
    <w:rsid w:val="000247D3"/>
    <w:rsid w:val="00024C31"/>
    <w:rsid w:val="00024DE4"/>
    <w:rsid w:val="00025270"/>
    <w:rsid w:val="00025542"/>
    <w:rsid w:val="00026031"/>
    <w:rsid w:val="000263B1"/>
    <w:rsid w:val="00026464"/>
    <w:rsid w:val="000265AE"/>
    <w:rsid w:val="00027061"/>
    <w:rsid w:val="00027249"/>
    <w:rsid w:val="00027E9D"/>
    <w:rsid w:val="00027ECE"/>
    <w:rsid w:val="000302D3"/>
    <w:rsid w:val="00030A68"/>
    <w:rsid w:val="00030FC5"/>
    <w:rsid w:val="00032EB7"/>
    <w:rsid w:val="0003354F"/>
    <w:rsid w:val="0003381D"/>
    <w:rsid w:val="000343A9"/>
    <w:rsid w:val="00034677"/>
    <w:rsid w:val="00034C2D"/>
    <w:rsid w:val="00035138"/>
    <w:rsid w:val="00035222"/>
    <w:rsid w:val="00035468"/>
    <w:rsid w:val="000358A4"/>
    <w:rsid w:val="00035995"/>
    <w:rsid w:val="00035E7A"/>
    <w:rsid w:val="00036A72"/>
    <w:rsid w:val="00036AC5"/>
    <w:rsid w:val="00037AEB"/>
    <w:rsid w:val="0004006B"/>
    <w:rsid w:val="00040111"/>
    <w:rsid w:val="00040714"/>
    <w:rsid w:val="00040C65"/>
    <w:rsid w:val="0004176D"/>
    <w:rsid w:val="00041A5A"/>
    <w:rsid w:val="00041B5B"/>
    <w:rsid w:val="00042054"/>
    <w:rsid w:val="00042651"/>
    <w:rsid w:val="0004265C"/>
    <w:rsid w:val="00042662"/>
    <w:rsid w:val="00042875"/>
    <w:rsid w:val="0004314C"/>
    <w:rsid w:val="0004333D"/>
    <w:rsid w:val="00043533"/>
    <w:rsid w:val="00043E80"/>
    <w:rsid w:val="00043F92"/>
    <w:rsid w:val="000449AA"/>
    <w:rsid w:val="00045238"/>
    <w:rsid w:val="00046CBF"/>
    <w:rsid w:val="0004750F"/>
    <w:rsid w:val="0004760B"/>
    <w:rsid w:val="00047EE5"/>
    <w:rsid w:val="000500ED"/>
    <w:rsid w:val="00050494"/>
    <w:rsid w:val="00050A5F"/>
    <w:rsid w:val="00051492"/>
    <w:rsid w:val="00051504"/>
    <w:rsid w:val="0005166C"/>
    <w:rsid w:val="000518A0"/>
    <w:rsid w:val="00051F49"/>
    <w:rsid w:val="000525CC"/>
    <w:rsid w:val="00052C5D"/>
    <w:rsid w:val="0005314C"/>
    <w:rsid w:val="0005338B"/>
    <w:rsid w:val="000533E3"/>
    <w:rsid w:val="000537A5"/>
    <w:rsid w:val="00053B5A"/>
    <w:rsid w:val="00053B7A"/>
    <w:rsid w:val="00053BBB"/>
    <w:rsid w:val="00053F6E"/>
    <w:rsid w:val="000540D3"/>
    <w:rsid w:val="000546D6"/>
    <w:rsid w:val="00054989"/>
    <w:rsid w:val="00054A45"/>
    <w:rsid w:val="00054F75"/>
    <w:rsid w:val="00055788"/>
    <w:rsid w:val="000560E6"/>
    <w:rsid w:val="00056266"/>
    <w:rsid w:val="00056449"/>
    <w:rsid w:val="0005647C"/>
    <w:rsid w:val="00056EC8"/>
    <w:rsid w:val="00057499"/>
    <w:rsid w:val="000601A3"/>
    <w:rsid w:val="0006033A"/>
    <w:rsid w:val="00060349"/>
    <w:rsid w:val="00060673"/>
    <w:rsid w:val="0006083D"/>
    <w:rsid w:val="00060C85"/>
    <w:rsid w:val="000615AC"/>
    <w:rsid w:val="000615C4"/>
    <w:rsid w:val="00061BC5"/>
    <w:rsid w:val="00062215"/>
    <w:rsid w:val="00062670"/>
    <w:rsid w:val="0006292D"/>
    <w:rsid w:val="00062A08"/>
    <w:rsid w:val="00062B95"/>
    <w:rsid w:val="00062E32"/>
    <w:rsid w:val="000636E9"/>
    <w:rsid w:val="000638B6"/>
    <w:rsid w:val="00063931"/>
    <w:rsid w:val="00064336"/>
    <w:rsid w:val="000646C7"/>
    <w:rsid w:val="00064B13"/>
    <w:rsid w:val="00064CFE"/>
    <w:rsid w:val="0006574D"/>
    <w:rsid w:val="0006683D"/>
    <w:rsid w:val="00066A0A"/>
    <w:rsid w:val="00066EF7"/>
    <w:rsid w:val="000673B7"/>
    <w:rsid w:val="00067D3E"/>
    <w:rsid w:val="000704C6"/>
    <w:rsid w:val="00070CC6"/>
    <w:rsid w:val="0007167F"/>
    <w:rsid w:val="00071E34"/>
    <w:rsid w:val="00071F18"/>
    <w:rsid w:val="0007254E"/>
    <w:rsid w:val="000726DF"/>
    <w:rsid w:val="000728EE"/>
    <w:rsid w:val="00072B76"/>
    <w:rsid w:val="00072FB1"/>
    <w:rsid w:val="000731AF"/>
    <w:rsid w:val="000738CC"/>
    <w:rsid w:val="00073AAC"/>
    <w:rsid w:val="00073AE2"/>
    <w:rsid w:val="00073F44"/>
    <w:rsid w:val="000744E3"/>
    <w:rsid w:val="0007460C"/>
    <w:rsid w:val="00074A10"/>
    <w:rsid w:val="0007570D"/>
    <w:rsid w:val="00075FC5"/>
    <w:rsid w:val="0007613B"/>
    <w:rsid w:val="00076765"/>
    <w:rsid w:val="000768ED"/>
    <w:rsid w:val="00076C56"/>
    <w:rsid w:val="00077045"/>
    <w:rsid w:val="0007706E"/>
    <w:rsid w:val="0007742D"/>
    <w:rsid w:val="000801D8"/>
    <w:rsid w:val="0008098B"/>
    <w:rsid w:val="00081200"/>
    <w:rsid w:val="00081338"/>
    <w:rsid w:val="00081687"/>
    <w:rsid w:val="00081C1D"/>
    <w:rsid w:val="00081C9F"/>
    <w:rsid w:val="000825C6"/>
    <w:rsid w:val="00082B43"/>
    <w:rsid w:val="00082D45"/>
    <w:rsid w:val="00082D47"/>
    <w:rsid w:val="00082E45"/>
    <w:rsid w:val="00082F82"/>
    <w:rsid w:val="000831E3"/>
    <w:rsid w:val="00083BA6"/>
    <w:rsid w:val="000849AF"/>
    <w:rsid w:val="00084AD0"/>
    <w:rsid w:val="000858FC"/>
    <w:rsid w:val="00086158"/>
    <w:rsid w:val="00086510"/>
    <w:rsid w:val="00086679"/>
    <w:rsid w:val="00086D8D"/>
    <w:rsid w:val="00086F03"/>
    <w:rsid w:val="0008706C"/>
    <w:rsid w:val="00087AA4"/>
    <w:rsid w:val="00087F73"/>
    <w:rsid w:val="00090B34"/>
    <w:rsid w:val="00091294"/>
    <w:rsid w:val="000912FE"/>
    <w:rsid w:val="00091545"/>
    <w:rsid w:val="0009178B"/>
    <w:rsid w:val="000917A8"/>
    <w:rsid w:val="00092DFD"/>
    <w:rsid w:val="00092EB0"/>
    <w:rsid w:val="0009306D"/>
    <w:rsid w:val="000931E6"/>
    <w:rsid w:val="000934E3"/>
    <w:rsid w:val="00093618"/>
    <w:rsid w:val="0009428F"/>
    <w:rsid w:val="0009432F"/>
    <w:rsid w:val="000947D4"/>
    <w:rsid w:val="00095449"/>
    <w:rsid w:val="00095505"/>
    <w:rsid w:val="00095670"/>
    <w:rsid w:val="000956AE"/>
    <w:rsid w:val="000957C9"/>
    <w:rsid w:val="000959D2"/>
    <w:rsid w:val="00095E93"/>
    <w:rsid w:val="00096674"/>
    <w:rsid w:val="00096AE7"/>
    <w:rsid w:val="00096AF1"/>
    <w:rsid w:val="00096C60"/>
    <w:rsid w:val="000970C8"/>
    <w:rsid w:val="00097366"/>
    <w:rsid w:val="00097887"/>
    <w:rsid w:val="00097AAE"/>
    <w:rsid w:val="00097DCD"/>
    <w:rsid w:val="000A04E9"/>
    <w:rsid w:val="000A0866"/>
    <w:rsid w:val="000A09FD"/>
    <w:rsid w:val="000A0CDF"/>
    <w:rsid w:val="000A186D"/>
    <w:rsid w:val="000A1CD9"/>
    <w:rsid w:val="000A1D24"/>
    <w:rsid w:val="000A21F2"/>
    <w:rsid w:val="000A248B"/>
    <w:rsid w:val="000A25FD"/>
    <w:rsid w:val="000A27F9"/>
    <w:rsid w:val="000A295E"/>
    <w:rsid w:val="000A2CF6"/>
    <w:rsid w:val="000A3269"/>
    <w:rsid w:val="000A348F"/>
    <w:rsid w:val="000A34D9"/>
    <w:rsid w:val="000A4A8A"/>
    <w:rsid w:val="000A4E6F"/>
    <w:rsid w:val="000A4FF0"/>
    <w:rsid w:val="000A5E70"/>
    <w:rsid w:val="000A63FC"/>
    <w:rsid w:val="000A6A94"/>
    <w:rsid w:val="000A6B84"/>
    <w:rsid w:val="000A6D82"/>
    <w:rsid w:val="000A75A0"/>
    <w:rsid w:val="000A75E6"/>
    <w:rsid w:val="000A7B22"/>
    <w:rsid w:val="000B0903"/>
    <w:rsid w:val="000B0AD6"/>
    <w:rsid w:val="000B0C97"/>
    <w:rsid w:val="000B0D09"/>
    <w:rsid w:val="000B0D1C"/>
    <w:rsid w:val="000B0D44"/>
    <w:rsid w:val="000B1BA3"/>
    <w:rsid w:val="000B1F4F"/>
    <w:rsid w:val="000B2172"/>
    <w:rsid w:val="000B27A3"/>
    <w:rsid w:val="000B2DF9"/>
    <w:rsid w:val="000B316B"/>
    <w:rsid w:val="000B374B"/>
    <w:rsid w:val="000B37D8"/>
    <w:rsid w:val="000B3BF1"/>
    <w:rsid w:val="000B3FB4"/>
    <w:rsid w:val="000B4DCF"/>
    <w:rsid w:val="000B4E78"/>
    <w:rsid w:val="000B4FA6"/>
    <w:rsid w:val="000B58B3"/>
    <w:rsid w:val="000B5A3B"/>
    <w:rsid w:val="000B5DDC"/>
    <w:rsid w:val="000B5E01"/>
    <w:rsid w:val="000B5F36"/>
    <w:rsid w:val="000B67E8"/>
    <w:rsid w:val="000B688C"/>
    <w:rsid w:val="000B6A48"/>
    <w:rsid w:val="000B701F"/>
    <w:rsid w:val="000B702A"/>
    <w:rsid w:val="000B717F"/>
    <w:rsid w:val="000B7461"/>
    <w:rsid w:val="000B7BB9"/>
    <w:rsid w:val="000B7C21"/>
    <w:rsid w:val="000B7E2B"/>
    <w:rsid w:val="000C00C0"/>
    <w:rsid w:val="000C0705"/>
    <w:rsid w:val="000C0CF3"/>
    <w:rsid w:val="000C0F18"/>
    <w:rsid w:val="000C1842"/>
    <w:rsid w:val="000C1E84"/>
    <w:rsid w:val="000C21D3"/>
    <w:rsid w:val="000C2769"/>
    <w:rsid w:val="000C2FC6"/>
    <w:rsid w:val="000C2FDA"/>
    <w:rsid w:val="000C32C1"/>
    <w:rsid w:val="000C3450"/>
    <w:rsid w:val="000C3596"/>
    <w:rsid w:val="000C3EFC"/>
    <w:rsid w:val="000C423C"/>
    <w:rsid w:val="000C4538"/>
    <w:rsid w:val="000C4C2E"/>
    <w:rsid w:val="000C4F1A"/>
    <w:rsid w:val="000C516B"/>
    <w:rsid w:val="000C5A1D"/>
    <w:rsid w:val="000C5A8E"/>
    <w:rsid w:val="000C5C48"/>
    <w:rsid w:val="000C5D03"/>
    <w:rsid w:val="000C5F0C"/>
    <w:rsid w:val="000C6089"/>
    <w:rsid w:val="000C61AE"/>
    <w:rsid w:val="000C62DC"/>
    <w:rsid w:val="000C669F"/>
    <w:rsid w:val="000C6773"/>
    <w:rsid w:val="000C6C2B"/>
    <w:rsid w:val="000C6F29"/>
    <w:rsid w:val="000C7035"/>
    <w:rsid w:val="000C7851"/>
    <w:rsid w:val="000C7927"/>
    <w:rsid w:val="000D02C4"/>
    <w:rsid w:val="000D098C"/>
    <w:rsid w:val="000D0B28"/>
    <w:rsid w:val="000D0D67"/>
    <w:rsid w:val="000D1166"/>
    <w:rsid w:val="000D1218"/>
    <w:rsid w:val="000D1364"/>
    <w:rsid w:val="000D1CCD"/>
    <w:rsid w:val="000D1E0F"/>
    <w:rsid w:val="000D312C"/>
    <w:rsid w:val="000D31BD"/>
    <w:rsid w:val="000D32F9"/>
    <w:rsid w:val="000D402B"/>
    <w:rsid w:val="000D43C3"/>
    <w:rsid w:val="000D4D44"/>
    <w:rsid w:val="000D4F51"/>
    <w:rsid w:val="000D52CD"/>
    <w:rsid w:val="000D5C77"/>
    <w:rsid w:val="000D64A3"/>
    <w:rsid w:val="000D6A75"/>
    <w:rsid w:val="000D71D9"/>
    <w:rsid w:val="000D75D5"/>
    <w:rsid w:val="000D75E0"/>
    <w:rsid w:val="000D7727"/>
    <w:rsid w:val="000D7737"/>
    <w:rsid w:val="000D78E2"/>
    <w:rsid w:val="000D7D99"/>
    <w:rsid w:val="000E007F"/>
    <w:rsid w:val="000E01A8"/>
    <w:rsid w:val="000E022E"/>
    <w:rsid w:val="000E0AF1"/>
    <w:rsid w:val="000E221B"/>
    <w:rsid w:val="000E22C2"/>
    <w:rsid w:val="000E3295"/>
    <w:rsid w:val="000E3661"/>
    <w:rsid w:val="000E36AB"/>
    <w:rsid w:val="000E379C"/>
    <w:rsid w:val="000E587D"/>
    <w:rsid w:val="000E5E2A"/>
    <w:rsid w:val="000E5F7C"/>
    <w:rsid w:val="000E6FE9"/>
    <w:rsid w:val="000E7512"/>
    <w:rsid w:val="000E75B6"/>
    <w:rsid w:val="000E7FF4"/>
    <w:rsid w:val="000F008A"/>
    <w:rsid w:val="000F01EB"/>
    <w:rsid w:val="000F05E9"/>
    <w:rsid w:val="000F075D"/>
    <w:rsid w:val="000F0A71"/>
    <w:rsid w:val="000F1314"/>
    <w:rsid w:val="000F1754"/>
    <w:rsid w:val="000F17DA"/>
    <w:rsid w:val="000F2474"/>
    <w:rsid w:val="000F2713"/>
    <w:rsid w:val="000F3396"/>
    <w:rsid w:val="000F37BE"/>
    <w:rsid w:val="000F3B34"/>
    <w:rsid w:val="000F3EBF"/>
    <w:rsid w:val="000F4178"/>
    <w:rsid w:val="000F481D"/>
    <w:rsid w:val="000F495C"/>
    <w:rsid w:val="000F4A31"/>
    <w:rsid w:val="000F4FF7"/>
    <w:rsid w:val="000F54DF"/>
    <w:rsid w:val="000F5D70"/>
    <w:rsid w:val="000F61AF"/>
    <w:rsid w:val="000F65E3"/>
    <w:rsid w:val="000F687D"/>
    <w:rsid w:val="000F697B"/>
    <w:rsid w:val="000F6AE4"/>
    <w:rsid w:val="000F7009"/>
    <w:rsid w:val="000F7307"/>
    <w:rsid w:val="000F740F"/>
    <w:rsid w:val="000F7666"/>
    <w:rsid w:val="0010068F"/>
    <w:rsid w:val="001016B3"/>
    <w:rsid w:val="00101CB2"/>
    <w:rsid w:val="00101F5A"/>
    <w:rsid w:val="00102014"/>
    <w:rsid w:val="0010215A"/>
    <w:rsid w:val="00102604"/>
    <w:rsid w:val="00102CB4"/>
    <w:rsid w:val="00103333"/>
    <w:rsid w:val="00103947"/>
    <w:rsid w:val="001042B9"/>
    <w:rsid w:val="0010433E"/>
    <w:rsid w:val="00104D25"/>
    <w:rsid w:val="00105241"/>
    <w:rsid w:val="0010567E"/>
    <w:rsid w:val="00105964"/>
    <w:rsid w:val="001060D6"/>
    <w:rsid w:val="001064E5"/>
    <w:rsid w:val="0010658F"/>
    <w:rsid w:val="00106AAD"/>
    <w:rsid w:val="00106BA6"/>
    <w:rsid w:val="00106DD7"/>
    <w:rsid w:val="00107211"/>
    <w:rsid w:val="0010727E"/>
    <w:rsid w:val="00107831"/>
    <w:rsid w:val="00107871"/>
    <w:rsid w:val="00107DBF"/>
    <w:rsid w:val="00107F75"/>
    <w:rsid w:val="00110081"/>
    <w:rsid w:val="0011009B"/>
    <w:rsid w:val="00110280"/>
    <w:rsid w:val="00110B52"/>
    <w:rsid w:val="00110EC0"/>
    <w:rsid w:val="00111073"/>
    <w:rsid w:val="0011121A"/>
    <w:rsid w:val="001119C5"/>
    <w:rsid w:val="00111B4F"/>
    <w:rsid w:val="00112483"/>
    <w:rsid w:val="00112513"/>
    <w:rsid w:val="00112938"/>
    <w:rsid w:val="0011298E"/>
    <w:rsid w:val="0011299F"/>
    <w:rsid w:val="00113B36"/>
    <w:rsid w:val="001140F5"/>
    <w:rsid w:val="00114165"/>
    <w:rsid w:val="0011494C"/>
    <w:rsid w:val="00114990"/>
    <w:rsid w:val="00114A6E"/>
    <w:rsid w:val="0011550C"/>
    <w:rsid w:val="00115568"/>
    <w:rsid w:val="001158A5"/>
    <w:rsid w:val="001164C1"/>
    <w:rsid w:val="00117DD8"/>
    <w:rsid w:val="0012010C"/>
    <w:rsid w:val="0012040D"/>
    <w:rsid w:val="001206F9"/>
    <w:rsid w:val="00120857"/>
    <w:rsid w:val="0012085F"/>
    <w:rsid w:val="00120C63"/>
    <w:rsid w:val="00120E71"/>
    <w:rsid w:val="001210B9"/>
    <w:rsid w:val="00121406"/>
    <w:rsid w:val="001219E4"/>
    <w:rsid w:val="00121A3D"/>
    <w:rsid w:val="0012276E"/>
    <w:rsid w:val="00122A83"/>
    <w:rsid w:val="001232A9"/>
    <w:rsid w:val="0012368E"/>
    <w:rsid w:val="001236E8"/>
    <w:rsid w:val="001237CF"/>
    <w:rsid w:val="001238B7"/>
    <w:rsid w:val="001238BC"/>
    <w:rsid w:val="0012403C"/>
    <w:rsid w:val="0012499E"/>
    <w:rsid w:val="00124CBF"/>
    <w:rsid w:val="0012505E"/>
    <w:rsid w:val="001257B5"/>
    <w:rsid w:val="00126013"/>
    <w:rsid w:val="00126F6A"/>
    <w:rsid w:val="00126F87"/>
    <w:rsid w:val="0012793E"/>
    <w:rsid w:val="00127957"/>
    <w:rsid w:val="00127976"/>
    <w:rsid w:val="00130D4F"/>
    <w:rsid w:val="00130FE0"/>
    <w:rsid w:val="00131005"/>
    <w:rsid w:val="0013140B"/>
    <w:rsid w:val="00131F1D"/>
    <w:rsid w:val="00132E1D"/>
    <w:rsid w:val="001332D4"/>
    <w:rsid w:val="00133B30"/>
    <w:rsid w:val="00133C07"/>
    <w:rsid w:val="00133C4E"/>
    <w:rsid w:val="00133E25"/>
    <w:rsid w:val="001346B6"/>
    <w:rsid w:val="00134762"/>
    <w:rsid w:val="00134F62"/>
    <w:rsid w:val="00135126"/>
    <w:rsid w:val="00135723"/>
    <w:rsid w:val="0013581C"/>
    <w:rsid w:val="00135B21"/>
    <w:rsid w:val="00135B74"/>
    <w:rsid w:val="00135B77"/>
    <w:rsid w:val="00136098"/>
    <w:rsid w:val="00136278"/>
    <w:rsid w:val="00136354"/>
    <w:rsid w:val="0013650D"/>
    <w:rsid w:val="001365EA"/>
    <w:rsid w:val="00136EC6"/>
    <w:rsid w:val="00137069"/>
    <w:rsid w:val="0013788D"/>
    <w:rsid w:val="0013789A"/>
    <w:rsid w:val="00137B2F"/>
    <w:rsid w:val="00140112"/>
    <w:rsid w:val="0014040B"/>
    <w:rsid w:val="001407D1"/>
    <w:rsid w:val="00140898"/>
    <w:rsid w:val="00140985"/>
    <w:rsid w:val="00140C5C"/>
    <w:rsid w:val="00140D7D"/>
    <w:rsid w:val="001418A5"/>
    <w:rsid w:val="00141C86"/>
    <w:rsid w:val="00142033"/>
    <w:rsid w:val="0014223D"/>
    <w:rsid w:val="00142410"/>
    <w:rsid w:val="0014246D"/>
    <w:rsid w:val="0014288F"/>
    <w:rsid w:val="00142A4A"/>
    <w:rsid w:val="00142C21"/>
    <w:rsid w:val="00142DB5"/>
    <w:rsid w:val="00142FBF"/>
    <w:rsid w:val="00143B7E"/>
    <w:rsid w:val="00143C8F"/>
    <w:rsid w:val="00143CA9"/>
    <w:rsid w:val="00144535"/>
    <w:rsid w:val="0014496B"/>
    <w:rsid w:val="001449F9"/>
    <w:rsid w:val="00144BC7"/>
    <w:rsid w:val="001450A9"/>
    <w:rsid w:val="00145228"/>
    <w:rsid w:val="00145285"/>
    <w:rsid w:val="001453E0"/>
    <w:rsid w:val="0014585C"/>
    <w:rsid w:val="00145946"/>
    <w:rsid w:val="00145B10"/>
    <w:rsid w:val="00145E0E"/>
    <w:rsid w:val="00145E1F"/>
    <w:rsid w:val="001460BC"/>
    <w:rsid w:val="001463F3"/>
    <w:rsid w:val="001469EF"/>
    <w:rsid w:val="00146DAD"/>
    <w:rsid w:val="00147506"/>
    <w:rsid w:val="00147BB1"/>
    <w:rsid w:val="00147F92"/>
    <w:rsid w:val="00150BDC"/>
    <w:rsid w:val="00150C25"/>
    <w:rsid w:val="001519E2"/>
    <w:rsid w:val="00151BBC"/>
    <w:rsid w:val="001522AF"/>
    <w:rsid w:val="00152648"/>
    <w:rsid w:val="00153598"/>
    <w:rsid w:val="00153848"/>
    <w:rsid w:val="00153DF5"/>
    <w:rsid w:val="001540FE"/>
    <w:rsid w:val="00154D20"/>
    <w:rsid w:val="00156DAC"/>
    <w:rsid w:val="001570C4"/>
    <w:rsid w:val="00157507"/>
    <w:rsid w:val="00157F43"/>
    <w:rsid w:val="00157FC7"/>
    <w:rsid w:val="0016130B"/>
    <w:rsid w:val="0016149A"/>
    <w:rsid w:val="00161971"/>
    <w:rsid w:val="00161CFE"/>
    <w:rsid w:val="00161D92"/>
    <w:rsid w:val="00161F22"/>
    <w:rsid w:val="001620D2"/>
    <w:rsid w:val="00162220"/>
    <w:rsid w:val="00162A1E"/>
    <w:rsid w:val="001631F0"/>
    <w:rsid w:val="001637BC"/>
    <w:rsid w:val="00163834"/>
    <w:rsid w:val="00163862"/>
    <w:rsid w:val="001638B3"/>
    <w:rsid w:val="00163B69"/>
    <w:rsid w:val="00164295"/>
    <w:rsid w:val="00164ADB"/>
    <w:rsid w:val="00165B5C"/>
    <w:rsid w:val="00166444"/>
    <w:rsid w:val="00166559"/>
    <w:rsid w:val="00166878"/>
    <w:rsid w:val="001668AE"/>
    <w:rsid w:val="00166D0A"/>
    <w:rsid w:val="001676BC"/>
    <w:rsid w:val="00170315"/>
    <w:rsid w:val="0017034A"/>
    <w:rsid w:val="001707EA"/>
    <w:rsid w:val="00170C00"/>
    <w:rsid w:val="00171287"/>
    <w:rsid w:val="001717FD"/>
    <w:rsid w:val="001719BD"/>
    <w:rsid w:val="00171BCB"/>
    <w:rsid w:val="00173B1E"/>
    <w:rsid w:val="00173F3E"/>
    <w:rsid w:val="00173FC5"/>
    <w:rsid w:val="001741AB"/>
    <w:rsid w:val="00175185"/>
    <w:rsid w:val="001751C9"/>
    <w:rsid w:val="00175979"/>
    <w:rsid w:val="00175999"/>
    <w:rsid w:val="00175C43"/>
    <w:rsid w:val="00175C50"/>
    <w:rsid w:val="00175CF7"/>
    <w:rsid w:val="00175F26"/>
    <w:rsid w:val="00175FFA"/>
    <w:rsid w:val="0017653C"/>
    <w:rsid w:val="0017685B"/>
    <w:rsid w:val="00176B74"/>
    <w:rsid w:val="0017709F"/>
    <w:rsid w:val="00177330"/>
    <w:rsid w:val="00177589"/>
    <w:rsid w:val="001778D3"/>
    <w:rsid w:val="00177CBB"/>
    <w:rsid w:val="00177E43"/>
    <w:rsid w:val="0018000F"/>
    <w:rsid w:val="0018053A"/>
    <w:rsid w:val="001806BC"/>
    <w:rsid w:val="00180877"/>
    <w:rsid w:val="001809A1"/>
    <w:rsid w:val="001810B8"/>
    <w:rsid w:val="00181D2A"/>
    <w:rsid w:val="001839CB"/>
    <w:rsid w:val="00183A10"/>
    <w:rsid w:val="00183E7E"/>
    <w:rsid w:val="00183E97"/>
    <w:rsid w:val="0018438C"/>
    <w:rsid w:val="00184995"/>
    <w:rsid w:val="00184BB3"/>
    <w:rsid w:val="00185205"/>
    <w:rsid w:val="001853B3"/>
    <w:rsid w:val="00185C01"/>
    <w:rsid w:val="00186228"/>
    <w:rsid w:val="0018655E"/>
    <w:rsid w:val="00186686"/>
    <w:rsid w:val="00186F98"/>
    <w:rsid w:val="00187460"/>
    <w:rsid w:val="001912D4"/>
    <w:rsid w:val="00193474"/>
    <w:rsid w:val="00193D36"/>
    <w:rsid w:val="00193EBF"/>
    <w:rsid w:val="00194061"/>
    <w:rsid w:val="001955B3"/>
    <w:rsid w:val="00195A5D"/>
    <w:rsid w:val="00195FF9"/>
    <w:rsid w:val="00196150"/>
    <w:rsid w:val="00196952"/>
    <w:rsid w:val="00196FE6"/>
    <w:rsid w:val="001973E9"/>
    <w:rsid w:val="00197541"/>
    <w:rsid w:val="001A011E"/>
    <w:rsid w:val="001A0EA1"/>
    <w:rsid w:val="001A0EC4"/>
    <w:rsid w:val="001A114F"/>
    <w:rsid w:val="001A13E2"/>
    <w:rsid w:val="001A17DC"/>
    <w:rsid w:val="001A19F0"/>
    <w:rsid w:val="001A1C30"/>
    <w:rsid w:val="001A1C32"/>
    <w:rsid w:val="001A1FDF"/>
    <w:rsid w:val="001A2243"/>
    <w:rsid w:val="001A24EE"/>
    <w:rsid w:val="001A265E"/>
    <w:rsid w:val="001A2E22"/>
    <w:rsid w:val="001A2E63"/>
    <w:rsid w:val="001A38AF"/>
    <w:rsid w:val="001A3A37"/>
    <w:rsid w:val="001A4CC5"/>
    <w:rsid w:val="001A4F54"/>
    <w:rsid w:val="001A53ED"/>
    <w:rsid w:val="001A542C"/>
    <w:rsid w:val="001A5682"/>
    <w:rsid w:val="001A5F77"/>
    <w:rsid w:val="001A69EE"/>
    <w:rsid w:val="001A6A44"/>
    <w:rsid w:val="001A6B01"/>
    <w:rsid w:val="001A6B5C"/>
    <w:rsid w:val="001A6E8C"/>
    <w:rsid w:val="001A73EA"/>
    <w:rsid w:val="001B05AB"/>
    <w:rsid w:val="001B08DF"/>
    <w:rsid w:val="001B1351"/>
    <w:rsid w:val="001B1433"/>
    <w:rsid w:val="001B1A38"/>
    <w:rsid w:val="001B222E"/>
    <w:rsid w:val="001B238B"/>
    <w:rsid w:val="001B24EA"/>
    <w:rsid w:val="001B2835"/>
    <w:rsid w:val="001B3448"/>
    <w:rsid w:val="001B3572"/>
    <w:rsid w:val="001B3FD8"/>
    <w:rsid w:val="001B47F1"/>
    <w:rsid w:val="001B50E7"/>
    <w:rsid w:val="001B5238"/>
    <w:rsid w:val="001B5A73"/>
    <w:rsid w:val="001B5ADA"/>
    <w:rsid w:val="001B650A"/>
    <w:rsid w:val="001B65EA"/>
    <w:rsid w:val="001B7D37"/>
    <w:rsid w:val="001C041D"/>
    <w:rsid w:val="001C0AC6"/>
    <w:rsid w:val="001C0B53"/>
    <w:rsid w:val="001C0E68"/>
    <w:rsid w:val="001C111E"/>
    <w:rsid w:val="001C1851"/>
    <w:rsid w:val="001C1CFE"/>
    <w:rsid w:val="001C1EA1"/>
    <w:rsid w:val="001C202E"/>
    <w:rsid w:val="001C23D8"/>
    <w:rsid w:val="001C2424"/>
    <w:rsid w:val="001C25CC"/>
    <w:rsid w:val="001C35AD"/>
    <w:rsid w:val="001C38C5"/>
    <w:rsid w:val="001C40B2"/>
    <w:rsid w:val="001C4B82"/>
    <w:rsid w:val="001C4CDC"/>
    <w:rsid w:val="001C5337"/>
    <w:rsid w:val="001C5389"/>
    <w:rsid w:val="001C5478"/>
    <w:rsid w:val="001C5E2E"/>
    <w:rsid w:val="001C5E5C"/>
    <w:rsid w:val="001C5EA1"/>
    <w:rsid w:val="001C5FF9"/>
    <w:rsid w:val="001C6769"/>
    <w:rsid w:val="001C697D"/>
    <w:rsid w:val="001C6B6E"/>
    <w:rsid w:val="001C7166"/>
    <w:rsid w:val="001C74E3"/>
    <w:rsid w:val="001C781A"/>
    <w:rsid w:val="001C7D3C"/>
    <w:rsid w:val="001C7D94"/>
    <w:rsid w:val="001D067B"/>
    <w:rsid w:val="001D0742"/>
    <w:rsid w:val="001D080A"/>
    <w:rsid w:val="001D0DD3"/>
    <w:rsid w:val="001D0DF0"/>
    <w:rsid w:val="001D2084"/>
    <w:rsid w:val="001D216C"/>
    <w:rsid w:val="001D216F"/>
    <w:rsid w:val="001D25C6"/>
    <w:rsid w:val="001D2707"/>
    <w:rsid w:val="001D29FC"/>
    <w:rsid w:val="001D2CE0"/>
    <w:rsid w:val="001D4382"/>
    <w:rsid w:val="001D45C6"/>
    <w:rsid w:val="001D59E6"/>
    <w:rsid w:val="001D5E46"/>
    <w:rsid w:val="001D616C"/>
    <w:rsid w:val="001D662F"/>
    <w:rsid w:val="001D6887"/>
    <w:rsid w:val="001D6B34"/>
    <w:rsid w:val="001D711A"/>
    <w:rsid w:val="001D7138"/>
    <w:rsid w:val="001D733D"/>
    <w:rsid w:val="001D73EE"/>
    <w:rsid w:val="001D7728"/>
    <w:rsid w:val="001E04B5"/>
    <w:rsid w:val="001E05F9"/>
    <w:rsid w:val="001E095F"/>
    <w:rsid w:val="001E0BFF"/>
    <w:rsid w:val="001E101E"/>
    <w:rsid w:val="001E1BCE"/>
    <w:rsid w:val="001E284A"/>
    <w:rsid w:val="001E2B47"/>
    <w:rsid w:val="001E2F75"/>
    <w:rsid w:val="001E3500"/>
    <w:rsid w:val="001E36EE"/>
    <w:rsid w:val="001E37EC"/>
    <w:rsid w:val="001E3FDF"/>
    <w:rsid w:val="001E4A5E"/>
    <w:rsid w:val="001E4B15"/>
    <w:rsid w:val="001E4BA9"/>
    <w:rsid w:val="001E4BFB"/>
    <w:rsid w:val="001E4C88"/>
    <w:rsid w:val="001E5D42"/>
    <w:rsid w:val="001E65A5"/>
    <w:rsid w:val="001E6F13"/>
    <w:rsid w:val="001E72A2"/>
    <w:rsid w:val="001E78D7"/>
    <w:rsid w:val="001E7C1C"/>
    <w:rsid w:val="001E7C33"/>
    <w:rsid w:val="001E7C57"/>
    <w:rsid w:val="001E7D09"/>
    <w:rsid w:val="001F011B"/>
    <w:rsid w:val="001F0138"/>
    <w:rsid w:val="001F060A"/>
    <w:rsid w:val="001F0D99"/>
    <w:rsid w:val="001F0E22"/>
    <w:rsid w:val="001F15D6"/>
    <w:rsid w:val="001F17E9"/>
    <w:rsid w:val="001F1832"/>
    <w:rsid w:val="001F1C2F"/>
    <w:rsid w:val="001F1CD1"/>
    <w:rsid w:val="001F210C"/>
    <w:rsid w:val="001F26D1"/>
    <w:rsid w:val="001F352B"/>
    <w:rsid w:val="001F3E1D"/>
    <w:rsid w:val="001F4F31"/>
    <w:rsid w:val="001F588D"/>
    <w:rsid w:val="001F5B20"/>
    <w:rsid w:val="001F5E38"/>
    <w:rsid w:val="001F6B6C"/>
    <w:rsid w:val="001F6CF7"/>
    <w:rsid w:val="001F7CEA"/>
    <w:rsid w:val="00200516"/>
    <w:rsid w:val="00200E2C"/>
    <w:rsid w:val="00201392"/>
    <w:rsid w:val="00201814"/>
    <w:rsid w:val="00201B86"/>
    <w:rsid w:val="00202A15"/>
    <w:rsid w:val="00202C9F"/>
    <w:rsid w:val="0020362F"/>
    <w:rsid w:val="00203646"/>
    <w:rsid w:val="002039A0"/>
    <w:rsid w:val="00203F59"/>
    <w:rsid w:val="002040C1"/>
    <w:rsid w:val="00204E5E"/>
    <w:rsid w:val="00205220"/>
    <w:rsid w:val="00205453"/>
    <w:rsid w:val="00205467"/>
    <w:rsid w:val="0020548B"/>
    <w:rsid w:val="002054FD"/>
    <w:rsid w:val="00205568"/>
    <w:rsid w:val="00205B6E"/>
    <w:rsid w:val="00205C3F"/>
    <w:rsid w:val="00205F91"/>
    <w:rsid w:val="00206A30"/>
    <w:rsid w:val="00206B22"/>
    <w:rsid w:val="00207160"/>
    <w:rsid w:val="00207519"/>
    <w:rsid w:val="002105C5"/>
    <w:rsid w:val="002110C4"/>
    <w:rsid w:val="0021166D"/>
    <w:rsid w:val="0021175A"/>
    <w:rsid w:val="00211DA4"/>
    <w:rsid w:val="00211E3C"/>
    <w:rsid w:val="0021264C"/>
    <w:rsid w:val="0021377E"/>
    <w:rsid w:val="00213BA4"/>
    <w:rsid w:val="00213D4A"/>
    <w:rsid w:val="00214200"/>
    <w:rsid w:val="0021423E"/>
    <w:rsid w:val="00214DD5"/>
    <w:rsid w:val="00214E32"/>
    <w:rsid w:val="002153D4"/>
    <w:rsid w:val="00215A40"/>
    <w:rsid w:val="00216260"/>
    <w:rsid w:val="0021647A"/>
    <w:rsid w:val="0021649B"/>
    <w:rsid w:val="0021665D"/>
    <w:rsid w:val="00216C3A"/>
    <w:rsid w:val="00217677"/>
    <w:rsid w:val="0021767A"/>
    <w:rsid w:val="0021794C"/>
    <w:rsid w:val="00220506"/>
    <w:rsid w:val="00220526"/>
    <w:rsid w:val="0022062F"/>
    <w:rsid w:val="00220A5F"/>
    <w:rsid w:val="00221089"/>
    <w:rsid w:val="00221469"/>
    <w:rsid w:val="002215CA"/>
    <w:rsid w:val="00221A16"/>
    <w:rsid w:val="00221CE6"/>
    <w:rsid w:val="00222C38"/>
    <w:rsid w:val="00222FC0"/>
    <w:rsid w:val="00223F32"/>
    <w:rsid w:val="00223FC3"/>
    <w:rsid w:val="00224046"/>
    <w:rsid w:val="00224372"/>
    <w:rsid w:val="0022438A"/>
    <w:rsid w:val="0022466C"/>
    <w:rsid w:val="00224C80"/>
    <w:rsid w:val="00224DA7"/>
    <w:rsid w:val="00224EBC"/>
    <w:rsid w:val="00224F0E"/>
    <w:rsid w:val="0022505C"/>
    <w:rsid w:val="002259EE"/>
    <w:rsid w:val="00225EED"/>
    <w:rsid w:val="002269D3"/>
    <w:rsid w:val="00226AFC"/>
    <w:rsid w:val="00226F1D"/>
    <w:rsid w:val="0022738C"/>
    <w:rsid w:val="002307E7"/>
    <w:rsid w:val="00230A15"/>
    <w:rsid w:val="00230DF2"/>
    <w:rsid w:val="00231014"/>
    <w:rsid w:val="002315D8"/>
    <w:rsid w:val="00231BCD"/>
    <w:rsid w:val="00231C8E"/>
    <w:rsid w:val="00231F1F"/>
    <w:rsid w:val="002333DE"/>
    <w:rsid w:val="0023402A"/>
    <w:rsid w:val="0023479B"/>
    <w:rsid w:val="00234E9C"/>
    <w:rsid w:val="00234F9D"/>
    <w:rsid w:val="00235085"/>
    <w:rsid w:val="002351AD"/>
    <w:rsid w:val="0023532D"/>
    <w:rsid w:val="002357E5"/>
    <w:rsid w:val="00235D70"/>
    <w:rsid w:val="00236183"/>
    <w:rsid w:val="00236325"/>
    <w:rsid w:val="00236519"/>
    <w:rsid w:val="002366AD"/>
    <w:rsid w:val="00236806"/>
    <w:rsid w:val="00236E2E"/>
    <w:rsid w:val="00237732"/>
    <w:rsid w:val="002377EA"/>
    <w:rsid w:val="00237904"/>
    <w:rsid w:val="00237967"/>
    <w:rsid w:val="002407D0"/>
    <w:rsid w:val="00240A4B"/>
    <w:rsid w:val="00240D4B"/>
    <w:rsid w:val="002413EB"/>
    <w:rsid w:val="00241449"/>
    <w:rsid w:val="002414A2"/>
    <w:rsid w:val="0024188B"/>
    <w:rsid w:val="00242A2B"/>
    <w:rsid w:val="002432CB"/>
    <w:rsid w:val="00244EB3"/>
    <w:rsid w:val="00245325"/>
    <w:rsid w:val="00245BD1"/>
    <w:rsid w:val="00245ED8"/>
    <w:rsid w:val="0024668C"/>
    <w:rsid w:val="00247195"/>
    <w:rsid w:val="00247491"/>
    <w:rsid w:val="00247516"/>
    <w:rsid w:val="0024787C"/>
    <w:rsid w:val="00247987"/>
    <w:rsid w:val="00250025"/>
    <w:rsid w:val="0025029E"/>
    <w:rsid w:val="002502E9"/>
    <w:rsid w:val="0025033C"/>
    <w:rsid w:val="0025054C"/>
    <w:rsid w:val="002507C8"/>
    <w:rsid w:val="00250841"/>
    <w:rsid w:val="002509CF"/>
    <w:rsid w:val="00250F2F"/>
    <w:rsid w:val="002513B2"/>
    <w:rsid w:val="00251804"/>
    <w:rsid w:val="00251DF7"/>
    <w:rsid w:val="00251EEB"/>
    <w:rsid w:val="00251F5C"/>
    <w:rsid w:val="00252623"/>
    <w:rsid w:val="002529A8"/>
    <w:rsid w:val="00252E70"/>
    <w:rsid w:val="00253455"/>
    <w:rsid w:val="002536F8"/>
    <w:rsid w:val="0025393C"/>
    <w:rsid w:val="00253BC6"/>
    <w:rsid w:val="00254A1E"/>
    <w:rsid w:val="0025553D"/>
    <w:rsid w:val="0025566F"/>
    <w:rsid w:val="00255BC5"/>
    <w:rsid w:val="00255C64"/>
    <w:rsid w:val="00255F88"/>
    <w:rsid w:val="00256BEB"/>
    <w:rsid w:val="00256E9F"/>
    <w:rsid w:val="0025706F"/>
    <w:rsid w:val="002572E5"/>
    <w:rsid w:val="00257627"/>
    <w:rsid w:val="00257F68"/>
    <w:rsid w:val="00257FF6"/>
    <w:rsid w:val="00260314"/>
    <w:rsid w:val="00260400"/>
    <w:rsid w:val="002606F4"/>
    <w:rsid w:val="00260B17"/>
    <w:rsid w:val="00260D77"/>
    <w:rsid w:val="002616B3"/>
    <w:rsid w:val="002616B5"/>
    <w:rsid w:val="002618A6"/>
    <w:rsid w:val="00261E4E"/>
    <w:rsid w:val="00261FAE"/>
    <w:rsid w:val="00262A32"/>
    <w:rsid w:val="00262BD7"/>
    <w:rsid w:val="00262F4B"/>
    <w:rsid w:val="00262FE9"/>
    <w:rsid w:val="0026316F"/>
    <w:rsid w:val="002632B0"/>
    <w:rsid w:val="00263647"/>
    <w:rsid w:val="002636AA"/>
    <w:rsid w:val="00263F7C"/>
    <w:rsid w:val="00263FB8"/>
    <w:rsid w:val="0026411F"/>
    <w:rsid w:val="0026445A"/>
    <w:rsid w:val="00264A5C"/>
    <w:rsid w:val="00264EAD"/>
    <w:rsid w:val="00264EF7"/>
    <w:rsid w:val="0026509A"/>
    <w:rsid w:val="00265100"/>
    <w:rsid w:val="002658CC"/>
    <w:rsid w:val="0026601E"/>
    <w:rsid w:val="002662CF"/>
    <w:rsid w:val="00266BC0"/>
    <w:rsid w:val="00266D7F"/>
    <w:rsid w:val="00266E9E"/>
    <w:rsid w:val="00266F1C"/>
    <w:rsid w:val="0026718D"/>
    <w:rsid w:val="002671EF"/>
    <w:rsid w:val="0027022E"/>
    <w:rsid w:val="002703C4"/>
    <w:rsid w:val="002709EB"/>
    <w:rsid w:val="00271348"/>
    <w:rsid w:val="00271568"/>
    <w:rsid w:val="00271CF4"/>
    <w:rsid w:val="0027202A"/>
    <w:rsid w:val="002725D7"/>
    <w:rsid w:val="0027292E"/>
    <w:rsid w:val="002729B1"/>
    <w:rsid w:val="00272B49"/>
    <w:rsid w:val="00272BBD"/>
    <w:rsid w:val="00274020"/>
    <w:rsid w:val="00274859"/>
    <w:rsid w:val="00274AC9"/>
    <w:rsid w:val="00274C85"/>
    <w:rsid w:val="00274E0A"/>
    <w:rsid w:val="00275A09"/>
    <w:rsid w:val="00275BCF"/>
    <w:rsid w:val="002761E0"/>
    <w:rsid w:val="002767E6"/>
    <w:rsid w:val="00276CB7"/>
    <w:rsid w:val="002779C9"/>
    <w:rsid w:val="00277BFC"/>
    <w:rsid w:val="00277F7A"/>
    <w:rsid w:val="002801B4"/>
    <w:rsid w:val="002805CF"/>
    <w:rsid w:val="0028083E"/>
    <w:rsid w:val="00280B62"/>
    <w:rsid w:val="00281222"/>
    <w:rsid w:val="002817DE"/>
    <w:rsid w:val="002819AC"/>
    <w:rsid w:val="00281E73"/>
    <w:rsid w:val="0028221C"/>
    <w:rsid w:val="00282C45"/>
    <w:rsid w:val="00283CA3"/>
    <w:rsid w:val="00283FE1"/>
    <w:rsid w:val="00284046"/>
    <w:rsid w:val="00284ADE"/>
    <w:rsid w:val="00285501"/>
    <w:rsid w:val="00285B37"/>
    <w:rsid w:val="00285FF4"/>
    <w:rsid w:val="002861C3"/>
    <w:rsid w:val="00286329"/>
    <w:rsid w:val="00286508"/>
    <w:rsid w:val="002865E7"/>
    <w:rsid w:val="002869F4"/>
    <w:rsid w:val="002871E3"/>
    <w:rsid w:val="00287906"/>
    <w:rsid w:val="00287B5D"/>
    <w:rsid w:val="00287ED6"/>
    <w:rsid w:val="00290569"/>
    <w:rsid w:val="00290816"/>
    <w:rsid w:val="00290C4D"/>
    <w:rsid w:val="00290D0C"/>
    <w:rsid w:val="00290E36"/>
    <w:rsid w:val="00290F7A"/>
    <w:rsid w:val="002918E1"/>
    <w:rsid w:val="00291C0B"/>
    <w:rsid w:val="00291D73"/>
    <w:rsid w:val="002921A1"/>
    <w:rsid w:val="00292F65"/>
    <w:rsid w:val="00293D22"/>
    <w:rsid w:val="00293F19"/>
    <w:rsid w:val="002940C6"/>
    <w:rsid w:val="00294692"/>
    <w:rsid w:val="00294871"/>
    <w:rsid w:val="00294B05"/>
    <w:rsid w:val="00294CE3"/>
    <w:rsid w:val="00294D49"/>
    <w:rsid w:val="00294EB9"/>
    <w:rsid w:val="002950D6"/>
    <w:rsid w:val="00295294"/>
    <w:rsid w:val="00295591"/>
    <w:rsid w:val="0029562F"/>
    <w:rsid w:val="002957C1"/>
    <w:rsid w:val="00296CB7"/>
    <w:rsid w:val="0029702B"/>
    <w:rsid w:val="0029721A"/>
    <w:rsid w:val="00297BB7"/>
    <w:rsid w:val="00297E00"/>
    <w:rsid w:val="002A0054"/>
    <w:rsid w:val="002A0D7E"/>
    <w:rsid w:val="002A14D5"/>
    <w:rsid w:val="002A16BD"/>
    <w:rsid w:val="002A1C5C"/>
    <w:rsid w:val="002A2126"/>
    <w:rsid w:val="002A23B4"/>
    <w:rsid w:val="002A25EE"/>
    <w:rsid w:val="002A2691"/>
    <w:rsid w:val="002A2CCB"/>
    <w:rsid w:val="002A36F4"/>
    <w:rsid w:val="002A3F35"/>
    <w:rsid w:val="002A428B"/>
    <w:rsid w:val="002A4319"/>
    <w:rsid w:val="002A462E"/>
    <w:rsid w:val="002A493F"/>
    <w:rsid w:val="002A4A4D"/>
    <w:rsid w:val="002A5139"/>
    <w:rsid w:val="002A5358"/>
    <w:rsid w:val="002A594E"/>
    <w:rsid w:val="002A5E42"/>
    <w:rsid w:val="002A607D"/>
    <w:rsid w:val="002A6880"/>
    <w:rsid w:val="002A6D44"/>
    <w:rsid w:val="002A705F"/>
    <w:rsid w:val="002A711E"/>
    <w:rsid w:val="002B0632"/>
    <w:rsid w:val="002B0681"/>
    <w:rsid w:val="002B1054"/>
    <w:rsid w:val="002B1624"/>
    <w:rsid w:val="002B1E8B"/>
    <w:rsid w:val="002B2E4D"/>
    <w:rsid w:val="002B3A29"/>
    <w:rsid w:val="002B3D2C"/>
    <w:rsid w:val="002B5782"/>
    <w:rsid w:val="002B58FF"/>
    <w:rsid w:val="002B6970"/>
    <w:rsid w:val="002B6BF2"/>
    <w:rsid w:val="002B746B"/>
    <w:rsid w:val="002C03F3"/>
    <w:rsid w:val="002C1960"/>
    <w:rsid w:val="002C20FF"/>
    <w:rsid w:val="002C2BDB"/>
    <w:rsid w:val="002C305A"/>
    <w:rsid w:val="002C3C4A"/>
    <w:rsid w:val="002C5725"/>
    <w:rsid w:val="002C5959"/>
    <w:rsid w:val="002C5A3D"/>
    <w:rsid w:val="002C64BF"/>
    <w:rsid w:val="002C6B38"/>
    <w:rsid w:val="002C7E07"/>
    <w:rsid w:val="002C7E65"/>
    <w:rsid w:val="002D048C"/>
    <w:rsid w:val="002D0A36"/>
    <w:rsid w:val="002D11C2"/>
    <w:rsid w:val="002D11D2"/>
    <w:rsid w:val="002D14CB"/>
    <w:rsid w:val="002D1AF2"/>
    <w:rsid w:val="002D1B42"/>
    <w:rsid w:val="002D20D9"/>
    <w:rsid w:val="002D2820"/>
    <w:rsid w:val="002D337F"/>
    <w:rsid w:val="002D4637"/>
    <w:rsid w:val="002D4D94"/>
    <w:rsid w:val="002D505F"/>
    <w:rsid w:val="002D57C6"/>
    <w:rsid w:val="002D5D8B"/>
    <w:rsid w:val="002D6391"/>
    <w:rsid w:val="002D69B6"/>
    <w:rsid w:val="002D7097"/>
    <w:rsid w:val="002D71B5"/>
    <w:rsid w:val="002D7BC7"/>
    <w:rsid w:val="002D7D84"/>
    <w:rsid w:val="002E0470"/>
    <w:rsid w:val="002E09EE"/>
    <w:rsid w:val="002E0A74"/>
    <w:rsid w:val="002E107B"/>
    <w:rsid w:val="002E1E63"/>
    <w:rsid w:val="002E220F"/>
    <w:rsid w:val="002E255C"/>
    <w:rsid w:val="002E306A"/>
    <w:rsid w:val="002E32A6"/>
    <w:rsid w:val="002E332C"/>
    <w:rsid w:val="002E34D5"/>
    <w:rsid w:val="002E3590"/>
    <w:rsid w:val="002E35B7"/>
    <w:rsid w:val="002E448A"/>
    <w:rsid w:val="002E450A"/>
    <w:rsid w:val="002E4A29"/>
    <w:rsid w:val="002E54A7"/>
    <w:rsid w:val="002E5ADC"/>
    <w:rsid w:val="002E5CFE"/>
    <w:rsid w:val="002E5F47"/>
    <w:rsid w:val="002E61F6"/>
    <w:rsid w:val="002E62E3"/>
    <w:rsid w:val="002E64BD"/>
    <w:rsid w:val="002E6B14"/>
    <w:rsid w:val="002E6CDD"/>
    <w:rsid w:val="002E6D06"/>
    <w:rsid w:val="002E6D19"/>
    <w:rsid w:val="002E7657"/>
    <w:rsid w:val="002E7F0F"/>
    <w:rsid w:val="002F0359"/>
    <w:rsid w:val="002F069F"/>
    <w:rsid w:val="002F0AAE"/>
    <w:rsid w:val="002F0ED2"/>
    <w:rsid w:val="002F0F48"/>
    <w:rsid w:val="002F136D"/>
    <w:rsid w:val="002F1488"/>
    <w:rsid w:val="002F1515"/>
    <w:rsid w:val="002F1877"/>
    <w:rsid w:val="002F25B4"/>
    <w:rsid w:val="002F2C70"/>
    <w:rsid w:val="002F2F93"/>
    <w:rsid w:val="002F325E"/>
    <w:rsid w:val="002F3EB5"/>
    <w:rsid w:val="002F4B2B"/>
    <w:rsid w:val="002F4DD7"/>
    <w:rsid w:val="002F5642"/>
    <w:rsid w:val="002F5A72"/>
    <w:rsid w:val="002F5ABB"/>
    <w:rsid w:val="002F5B81"/>
    <w:rsid w:val="002F5D27"/>
    <w:rsid w:val="002F5E29"/>
    <w:rsid w:val="002F5FE1"/>
    <w:rsid w:val="002F6106"/>
    <w:rsid w:val="002F6127"/>
    <w:rsid w:val="002F651D"/>
    <w:rsid w:val="002F6634"/>
    <w:rsid w:val="002F6EB3"/>
    <w:rsid w:val="002F787C"/>
    <w:rsid w:val="002F7A01"/>
    <w:rsid w:val="003003C8"/>
    <w:rsid w:val="00300F7B"/>
    <w:rsid w:val="0030197D"/>
    <w:rsid w:val="00301A2D"/>
    <w:rsid w:val="00301AA2"/>
    <w:rsid w:val="003020C4"/>
    <w:rsid w:val="00302766"/>
    <w:rsid w:val="00302872"/>
    <w:rsid w:val="00302C14"/>
    <w:rsid w:val="00302EF7"/>
    <w:rsid w:val="00303A57"/>
    <w:rsid w:val="00303DF5"/>
    <w:rsid w:val="0030430E"/>
    <w:rsid w:val="003047B4"/>
    <w:rsid w:val="003048B8"/>
    <w:rsid w:val="00304B06"/>
    <w:rsid w:val="00304B71"/>
    <w:rsid w:val="00304C3A"/>
    <w:rsid w:val="00305A70"/>
    <w:rsid w:val="00305B55"/>
    <w:rsid w:val="00306304"/>
    <w:rsid w:val="0030631C"/>
    <w:rsid w:val="0030648D"/>
    <w:rsid w:val="00307452"/>
    <w:rsid w:val="00307618"/>
    <w:rsid w:val="00307E1D"/>
    <w:rsid w:val="00310375"/>
    <w:rsid w:val="003105AD"/>
    <w:rsid w:val="003106AD"/>
    <w:rsid w:val="00311457"/>
    <w:rsid w:val="00311710"/>
    <w:rsid w:val="00311831"/>
    <w:rsid w:val="00311D0A"/>
    <w:rsid w:val="003126DD"/>
    <w:rsid w:val="00312B62"/>
    <w:rsid w:val="00312CE7"/>
    <w:rsid w:val="0031347A"/>
    <w:rsid w:val="00314694"/>
    <w:rsid w:val="003148C8"/>
    <w:rsid w:val="00314C66"/>
    <w:rsid w:val="00314D57"/>
    <w:rsid w:val="00315638"/>
    <w:rsid w:val="003158AC"/>
    <w:rsid w:val="0031689B"/>
    <w:rsid w:val="00316D83"/>
    <w:rsid w:val="00316F65"/>
    <w:rsid w:val="003171AB"/>
    <w:rsid w:val="003171D0"/>
    <w:rsid w:val="00317AAA"/>
    <w:rsid w:val="0032012C"/>
    <w:rsid w:val="00320342"/>
    <w:rsid w:val="00320605"/>
    <w:rsid w:val="003212A7"/>
    <w:rsid w:val="003212E6"/>
    <w:rsid w:val="003216D6"/>
    <w:rsid w:val="00321BCE"/>
    <w:rsid w:val="00323CFE"/>
    <w:rsid w:val="00324028"/>
    <w:rsid w:val="0032463B"/>
    <w:rsid w:val="00324691"/>
    <w:rsid w:val="00324AD7"/>
    <w:rsid w:val="00324D6A"/>
    <w:rsid w:val="00326106"/>
    <w:rsid w:val="00326436"/>
    <w:rsid w:val="00326722"/>
    <w:rsid w:val="00326A3B"/>
    <w:rsid w:val="00326BF4"/>
    <w:rsid w:val="00326F2C"/>
    <w:rsid w:val="00327705"/>
    <w:rsid w:val="00327844"/>
    <w:rsid w:val="0032785B"/>
    <w:rsid w:val="00327CB0"/>
    <w:rsid w:val="0033010F"/>
    <w:rsid w:val="00330690"/>
    <w:rsid w:val="0033099D"/>
    <w:rsid w:val="00331EF6"/>
    <w:rsid w:val="0033319E"/>
    <w:rsid w:val="00333313"/>
    <w:rsid w:val="00333DC3"/>
    <w:rsid w:val="0033424C"/>
    <w:rsid w:val="0033534D"/>
    <w:rsid w:val="00335392"/>
    <w:rsid w:val="00335BE9"/>
    <w:rsid w:val="00336396"/>
    <w:rsid w:val="003368BD"/>
    <w:rsid w:val="00336D36"/>
    <w:rsid w:val="0033732D"/>
    <w:rsid w:val="0033735A"/>
    <w:rsid w:val="00337B44"/>
    <w:rsid w:val="00337B97"/>
    <w:rsid w:val="0034001C"/>
    <w:rsid w:val="00340152"/>
    <w:rsid w:val="00340761"/>
    <w:rsid w:val="00340F26"/>
    <w:rsid w:val="0034112D"/>
    <w:rsid w:val="00341334"/>
    <w:rsid w:val="003416D1"/>
    <w:rsid w:val="00341830"/>
    <w:rsid w:val="00341CB9"/>
    <w:rsid w:val="00341F1E"/>
    <w:rsid w:val="00342040"/>
    <w:rsid w:val="0034234A"/>
    <w:rsid w:val="0034260A"/>
    <w:rsid w:val="003426EF"/>
    <w:rsid w:val="003428B5"/>
    <w:rsid w:val="00342A63"/>
    <w:rsid w:val="00342BED"/>
    <w:rsid w:val="00342D4C"/>
    <w:rsid w:val="00343354"/>
    <w:rsid w:val="0034342A"/>
    <w:rsid w:val="003435A1"/>
    <w:rsid w:val="0034394F"/>
    <w:rsid w:val="00343D88"/>
    <w:rsid w:val="00344190"/>
    <w:rsid w:val="00344502"/>
    <w:rsid w:val="00344A93"/>
    <w:rsid w:val="00345523"/>
    <w:rsid w:val="00345944"/>
    <w:rsid w:val="003464B5"/>
    <w:rsid w:val="00346CE3"/>
    <w:rsid w:val="00347121"/>
    <w:rsid w:val="00347448"/>
    <w:rsid w:val="003475F5"/>
    <w:rsid w:val="0034795A"/>
    <w:rsid w:val="00350DBB"/>
    <w:rsid w:val="0035147B"/>
    <w:rsid w:val="00351E82"/>
    <w:rsid w:val="003522ED"/>
    <w:rsid w:val="00352DB3"/>
    <w:rsid w:val="00353507"/>
    <w:rsid w:val="003543E6"/>
    <w:rsid w:val="003544C6"/>
    <w:rsid w:val="00354A9A"/>
    <w:rsid w:val="0035533C"/>
    <w:rsid w:val="00355C40"/>
    <w:rsid w:val="00355F70"/>
    <w:rsid w:val="003561D6"/>
    <w:rsid w:val="003562F6"/>
    <w:rsid w:val="00356411"/>
    <w:rsid w:val="00356C99"/>
    <w:rsid w:val="00356DD4"/>
    <w:rsid w:val="00357696"/>
    <w:rsid w:val="00357771"/>
    <w:rsid w:val="00357DC1"/>
    <w:rsid w:val="00357DE6"/>
    <w:rsid w:val="003602FD"/>
    <w:rsid w:val="003606AE"/>
    <w:rsid w:val="00360827"/>
    <w:rsid w:val="00361105"/>
    <w:rsid w:val="00361DD4"/>
    <w:rsid w:val="00361FA5"/>
    <w:rsid w:val="00361FA7"/>
    <w:rsid w:val="003629B8"/>
    <w:rsid w:val="00363ABA"/>
    <w:rsid w:val="00364376"/>
    <w:rsid w:val="00364AF8"/>
    <w:rsid w:val="00364CBD"/>
    <w:rsid w:val="00364ED2"/>
    <w:rsid w:val="00365822"/>
    <w:rsid w:val="00365DBE"/>
    <w:rsid w:val="00365F4D"/>
    <w:rsid w:val="003665DF"/>
    <w:rsid w:val="00366702"/>
    <w:rsid w:val="00367176"/>
    <w:rsid w:val="00367428"/>
    <w:rsid w:val="00367988"/>
    <w:rsid w:val="00367F69"/>
    <w:rsid w:val="00370284"/>
    <w:rsid w:val="003707EC"/>
    <w:rsid w:val="00370A7D"/>
    <w:rsid w:val="003711BC"/>
    <w:rsid w:val="00371916"/>
    <w:rsid w:val="003723D6"/>
    <w:rsid w:val="00372CC0"/>
    <w:rsid w:val="00372DF5"/>
    <w:rsid w:val="003731AA"/>
    <w:rsid w:val="003733A7"/>
    <w:rsid w:val="003733DC"/>
    <w:rsid w:val="0037391A"/>
    <w:rsid w:val="0037396A"/>
    <w:rsid w:val="00373A94"/>
    <w:rsid w:val="00373D31"/>
    <w:rsid w:val="00374180"/>
    <w:rsid w:val="00374340"/>
    <w:rsid w:val="00374A40"/>
    <w:rsid w:val="003756CC"/>
    <w:rsid w:val="00375E30"/>
    <w:rsid w:val="003760D0"/>
    <w:rsid w:val="0037666A"/>
    <w:rsid w:val="003767E1"/>
    <w:rsid w:val="00376EFB"/>
    <w:rsid w:val="0037719A"/>
    <w:rsid w:val="003777A4"/>
    <w:rsid w:val="003777E4"/>
    <w:rsid w:val="00377C66"/>
    <w:rsid w:val="00377D6D"/>
    <w:rsid w:val="00377FD8"/>
    <w:rsid w:val="003800DD"/>
    <w:rsid w:val="00380557"/>
    <w:rsid w:val="00380CDB"/>
    <w:rsid w:val="00380EEB"/>
    <w:rsid w:val="00381812"/>
    <w:rsid w:val="00381A49"/>
    <w:rsid w:val="00381F23"/>
    <w:rsid w:val="00382A6D"/>
    <w:rsid w:val="00382ABE"/>
    <w:rsid w:val="003834FD"/>
    <w:rsid w:val="003838EE"/>
    <w:rsid w:val="003846BB"/>
    <w:rsid w:val="00385329"/>
    <w:rsid w:val="00385618"/>
    <w:rsid w:val="0038578E"/>
    <w:rsid w:val="003861CB"/>
    <w:rsid w:val="00386290"/>
    <w:rsid w:val="00386423"/>
    <w:rsid w:val="00386629"/>
    <w:rsid w:val="003871D4"/>
    <w:rsid w:val="00387FB9"/>
    <w:rsid w:val="003906D4"/>
    <w:rsid w:val="00390E06"/>
    <w:rsid w:val="003911B5"/>
    <w:rsid w:val="003914A7"/>
    <w:rsid w:val="003919A4"/>
    <w:rsid w:val="00391CC5"/>
    <w:rsid w:val="00391F14"/>
    <w:rsid w:val="00392162"/>
    <w:rsid w:val="00392179"/>
    <w:rsid w:val="003921F5"/>
    <w:rsid w:val="003923A2"/>
    <w:rsid w:val="0039262B"/>
    <w:rsid w:val="003929D2"/>
    <w:rsid w:val="003934E5"/>
    <w:rsid w:val="00393686"/>
    <w:rsid w:val="00393A9E"/>
    <w:rsid w:val="00393B5F"/>
    <w:rsid w:val="00393D55"/>
    <w:rsid w:val="00394434"/>
    <w:rsid w:val="0039462B"/>
    <w:rsid w:val="00394C49"/>
    <w:rsid w:val="0039510F"/>
    <w:rsid w:val="00395998"/>
    <w:rsid w:val="003959A4"/>
    <w:rsid w:val="003963EA"/>
    <w:rsid w:val="00396954"/>
    <w:rsid w:val="00396AF4"/>
    <w:rsid w:val="00396B1E"/>
    <w:rsid w:val="00396C63"/>
    <w:rsid w:val="003970D5"/>
    <w:rsid w:val="003971B6"/>
    <w:rsid w:val="0039798F"/>
    <w:rsid w:val="00397AE3"/>
    <w:rsid w:val="00397ECA"/>
    <w:rsid w:val="003A02AB"/>
    <w:rsid w:val="003A05A4"/>
    <w:rsid w:val="003A0CC3"/>
    <w:rsid w:val="003A104C"/>
    <w:rsid w:val="003A10E0"/>
    <w:rsid w:val="003A15BE"/>
    <w:rsid w:val="003A1779"/>
    <w:rsid w:val="003A216F"/>
    <w:rsid w:val="003A2210"/>
    <w:rsid w:val="003A2659"/>
    <w:rsid w:val="003A27A7"/>
    <w:rsid w:val="003A2AB3"/>
    <w:rsid w:val="003A2E26"/>
    <w:rsid w:val="003A37D8"/>
    <w:rsid w:val="003A4BF0"/>
    <w:rsid w:val="003A4CD3"/>
    <w:rsid w:val="003A5050"/>
    <w:rsid w:val="003A5347"/>
    <w:rsid w:val="003A555A"/>
    <w:rsid w:val="003A5653"/>
    <w:rsid w:val="003A5958"/>
    <w:rsid w:val="003A5D35"/>
    <w:rsid w:val="003A5DC3"/>
    <w:rsid w:val="003A63CC"/>
    <w:rsid w:val="003A672D"/>
    <w:rsid w:val="003A6835"/>
    <w:rsid w:val="003A68D0"/>
    <w:rsid w:val="003A68EA"/>
    <w:rsid w:val="003A6E8A"/>
    <w:rsid w:val="003A75A2"/>
    <w:rsid w:val="003A7A06"/>
    <w:rsid w:val="003A7E03"/>
    <w:rsid w:val="003A7E3D"/>
    <w:rsid w:val="003A7E96"/>
    <w:rsid w:val="003B0BD5"/>
    <w:rsid w:val="003B0D2C"/>
    <w:rsid w:val="003B1190"/>
    <w:rsid w:val="003B163E"/>
    <w:rsid w:val="003B19A0"/>
    <w:rsid w:val="003B1A6F"/>
    <w:rsid w:val="003B27DF"/>
    <w:rsid w:val="003B2BAC"/>
    <w:rsid w:val="003B2CF0"/>
    <w:rsid w:val="003B3CA7"/>
    <w:rsid w:val="003B3EB5"/>
    <w:rsid w:val="003B434F"/>
    <w:rsid w:val="003B4517"/>
    <w:rsid w:val="003B4823"/>
    <w:rsid w:val="003B4978"/>
    <w:rsid w:val="003B4AD5"/>
    <w:rsid w:val="003B509A"/>
    <w:rsid w:val="003B5637"/>
    <w:rsid w:val="003B5E77"/>
    <w:rsid w:val="003B6870"/>
    <w:rsid w:val="003B6F23"/>
    <w:rsid w:val="003B7556"/>
    <w:rsid w:val="003B762B"/>
    <w:rsid w:val="003B7802"/>
    <w:rsid w:val="003B7CA3"/>
    <w:rsid w:val="003C034E"/>
    <w:rsid w:val="003C08C8"/>
    <w:rsid w:val="003C1B81"/>
    <w:rsid w:val="003C1D20"/>
    <w:rsid w:val="003C2209"/>
    <w:rsid w:val="003C2212"/>
    <w:rsid w:val="003C2307"/>
    <w:rsid w:val="003C2CAB"/>
    <w:rsid w:val="003C2E8A"/>
    <w:rsid w:val="003C336D"/>
    <w:rsid w:val="003C3560"/>
    <w:rsid w:val="003C3AA6"/>
    <w:rsid w:val="003C3B5C"/>
    <w:rsid w:val="003C432D"/>
    <w:rsid w:val="003C4E4B"/>
    <w:rsid w:val="003C5114"/>
    <w:rsid w:val="003C5594"/>
    <w:rsid w:val="003C591E"/>
    <w:rsid w:val="003C5FF3"/>
    <w:rsid w:val="003C6101"/>
    <w:rsid w:val="003C6371"/>
    <w:rsid w:val="003C656A"/>
    <w:rsid w:val="003C6E1A"/>
    <w:rsid w:val="003C6EA8"/>
    <w:rsid w:val="003C7584"/>
    <w:rsid w:val="003C75EA"/>
    <w:rsid w:val="003C76D1"/>
    <w:rsid w:val="003C7702"/>
    <w:rsid w:val="003C7878"/>
    <w:rsid w:val="003C7D10"/>
    <w:rsid w:val="003C7DD6"/>
    <w:rsid w:val="003C7EB1"/>
    <w:rsid w:val="003D06EC"/>
    <w:rsid w:val="003D180D"/>
    <w:rsid w:val="003D1A12"/>
    <w:rsid w:val="003D1A79"/>
    <w:rsid w:val="003D1C65"/>
    <w:rsid w:val="003D25B7"/>
    <w:rsid w:val="003D3591"/>
    <w:rsid w:val="003D3D48"/>
    <w:rsid w:val="003D3FC7"/>
    <w:rsid w:val="003D41A3"/>
    <w:rsid w:val="003D4506"/>
    <w:rsid w:val="003D52BF"/>
    <w:rsid w:val="003D53F9"/>
    <w:rsid w:val="003D5F9C"/>
    <w:rsid w:val="003D607C"/>
    <w:rsid w:val="003D62EE"/>
    <w:rsid w:val="003D63C9"/>
    <w:rsid w:val="003D656E"/>
    <w:rsid w:val="003D6C51"/>
    <w:rsid w:val="003D6EC9"/>
    <w:rsid w:val="003D709D"/>
    <w:rsid w:val="003D7289"/>
    <w:rsid w:val="003D75AB"/>
    <w:rsid w:val="003D796C"/>
    <w:rsid w:val="003E16AF"/>
    <w:rsid w:val="003E2347"/>
    <w:rsid w:val="003E26CE"/>
    <w:rsid w:val="003E2EB0"/>
    <w:rsid w:val="003E3F66"/>
    <w:rsid w:val="003E4177"/>
    <w:rsid w:val="003E48F7"/>
    <w:rsid w:val="003E4A98"/>
    <w:rsid w:val="003E4E2C"/>
    <w:rsid w:val="003E5316"/>
    <w:rsid w:val="003E5472"/>
    <w:rsid w:val="003E5790"/>
    <w:rsid w:val="003E58DD"/>
    <w:rsid w:val="003E5984"/>
    <w:rsid w:val="003E6A5E"/>
    <w:rsid w:val="003E6C3C"/>
    <w:rsid w:val="003E73ED"/>
    <w:rsid w:val="003E742F"/>
    <w:rsid w:val="003E74B6"/>
    <w:rsid w:val="003E75E6"/>
    <w:rsid w:val="003E798D"/>
    <w:rsid w:val="003F0310"/>
    <w:rsid w:val="003F0612"/>
    <w:rsid w:val="003F062B"/>
    <w:rsid w:val="003F0A08"/>
    <w:rsid w:val="003F0E7B"/>
    <w:rsid w:val="003F0FD9"/>
    <w:rsid w:val="003F107E"/>
    <w:rsid w:val="003F1382"/>
    <w:rsid w:val="003F225F"/>
    <w:rsid w:val="003F2432"/>
    <w:rsid w:val="003F24FE"/>
    <w:rsid w:val="003F289E"/>
    <w:rsid w:val="003F2C6B"/>
    <w:rsid w:val="003F2CC5"/>
    <w:rsid w:val="003F2F94"/>
    <w:rsid w:val="003F3193"/>
    <w:rsid w:val="003F3574"/>
    <w:rsid w:val="003F367F"/>
    <w:rsid w:val="003F3AF2"/>
    <w:rsid w:val="003F3CE5"/>
    <w:rsid w:val="003F40BB"/>
    <w:rsid w:val="003F48D2"/>
    <w:rsid w:val="003F48FE"/>
    <w:rsid w:val="003F4D23"/>
    <w:rsid w:val="003F4D73"/>
    <w:rsid w:val="003F4EDC"/>
    <w:rsid w:val="003F50EC"/>
    <w:rsid w:val="003F56B5"/>
    <w:rsid w:val="003F588B"/>
    <w:rsid w:val="003F5C93"/>
    <w:rsid w:val="003F5E0E"/>
    <w:rsid w:val="003F6672"/>
    <w:rsid w:val="003F6B90"/>
    <w:rsid w:val="003F6EF7"/>
    <w:rsid w:val="003F6F41"/>
    <w:rsid w:val="003F7D75"/>
    <w:rsid w:val="0040018C"/>
    <w:rsid w:val="00401047"/>
    <w:rsid w:val="004016FE"/>
    <w:rsid w:val="004019F0"/>
    <w:rsid w:val="00401BD6"/>
    <w:rsid w:val="00402186"/>
    <w:rsid w:val="004021A1"/>
    <w:rsid w:val="00402682"/>
    <w:rsid w:val="00402A56"/>
    <w:rsid w:val="00402BF2"/>
    <w:rsid w:val="0040362B"/>
    <w:rsid w:val="00403B5E"/>
    <w:rsid w:val="00404BD7"/>
    <w:rsid w:val="00404CD5"/>
    <w:rsid w:val="00404D38"/>
    <w:rsid w:val="00404F7C"/>
    <w:rsid w:val="004051AE"/>
    <w:rsid w:val="004054A3"/>
    <w:rsid w:val="004055E4"/>
    <w:rsid w:val="00405A5F"/>
    <w:rsid w:val="00405A99"/>
    <w:rsid w:val="00405EE1"/>
    <w:rsid w:val="0040678E"/>
    <w:rsid w:val="004068C7"/>
    <w:rsid w:val="004074EB"/>
    <w:rsid w:val="0040753B"/>
    <w:rsid w:val="00407B42"/>
    <w:rsid w:val="00407FE6"/>
    <w:rsid w:val="00410252"/>
    <w:rsid w:val="0041197B"/>
    <w:rsid w:val="00412138"/>
    <w:rsid w:val="004124D7"/>
    <w:rsid w:val="00413324"/>
    <w:rsid w:val="00413343"/>
    <w:rsid w:val="00413525"/>
    <w:rsid w:val="004138BD"/>
    <w:rsid w:val="0041412B"/>
    <w:rsid w:val="004143E4"/>
    <w:rsid w:val="004144D3"/>
    <w:rsid w:val="00414A31"/>
    <w:rsid w:val="00415063"/>
    <w:rsid w:val="0041579C"/>
    <w:rsid w:val="00415AEC"/>
    <w:rsid w:val="00415FE6"/>
    <w:rsid w:val="004161FA"/>
    <w:rsid w:val="00416556"/>
    <w:rsid w:val="00417298"/>
    <w:rsid w:val="0041739E"/>
    <w:rsid w:val="00417941"/>
    <w:rsid w:val="00417A3E"/>
    <w:rsid w:val="00417CD0"/>
    <w:rsid w:val="00417E79"/>
    <w:rsid w:val="00420144"/>
    <w:rsid w:val="00420F5A"/>
    <w:rsid w:val="0042174D"/>
    <w:rsid w:val="00421993"/>
    <w:rsid w:val="00421C64"/>
    <w:rsid w:val="00421F16"/>
    <w:rsid w:val="00422617"/>
    <w:rsid w:val="00422A35"/>
    <w:rsid w:val="00422E97"/>
    <w:rsid w:val="00423378"/>
    <w:rsid w:val="00424491"/>
    <w:rsid w:val="00424DA0"/>
    <w:rsid w:val="0042534E"/>
    <w:rsid w:val="00425359"/>
    <w:rsid w:val="00426B93"/>
    <w:rsid w:val="004270A3"/>
    <w:rsid w:val="0042757C"/>
    <w:rsid w:val="00427854"/>
    <w:rsid w:val="00430404"/>
    <w:rsid w:val="00430871"/>
    <w:rsid w:val="00430E78"/>
    <w:rsid w:val="004311E9"/>
    <w:rsid w:val="00431373"/>
    <w:rsid w:val="00431C2B"/>
    <w:rsid w:val="00431C9C"/>
    <w:rsid w:val="00431FD9"/>
    <w:rsid w:val="00432D36"/>
    <w:rsid w:val="0043339D"/>
    <w:rsid w:val="00433494"/>
    <w:rsid w:val="00433538"/>
    <w:rsid w:val="00433A5C"/>
    <w:rsid w:val="00433B4B"/>
    <w:rsid w:val="00433C89"/>
    <w:rsid w:val="00433DCA"/>
    <w:rsid w:val="004348B3"/>
    <w:rsid w:val="004352CA"/>
    <w:rsid w:val="00436039"/>
    <w:rsid w:val="004365B7"/>
    <w:rsid w:val="00436A0B"/>
    <w:rsid w:val="00436B59"/>
    <w:rsid w:val="00436E25"/>
    <w:rsid w:val="00437680"/>
    <w:rsid w:val="00437C13"/>
    <w:rsid w:val="00440172"/>
    <w:rsid w:val="004405BA"/>
    <w:rsid w:val="00440782"/>
    <w:rsid w:val="004408E8"/>
    <w:rsid w:val="00440A8E"/>
    <w:rsid w:val="00440B5A"/>
    <w:rsid w:val="00440CE2"/>
    <w:rsid w:val="00441038"/>
    <w:rsid w:val="00441307"/>
    <w:rsid w:val="0044134C"/>
    <w:rsid w:val="00441BA3"/>
    <w:rsid w:val="0044242A"/>
    <w:rsid w:val="004427C5"/>
    <w:rsid w:val="0044321A"/>
    <w:rsid w:val="0044369D"/>
    <w:rsid w:val="00443B31"/>
    <w:rsid w:val="00443C09"/>
    <w:rsid w:val="00443DA9"/>
    <w:rsid w:val="00443FE3"/>
    <w:rsid w:val="00444177"/>
    <w:rsid w:val="004446A9"/>
    <w:rsid w:val="00444703"/>
    <w:rsid w:val="0044478D"/>
    <w:rsid w:val="00444B35"/>
    <w:rsid w:val="00444DAC"/>
    <w:rsid w:val="004452D6"/>
    <w:rsid w:val="004456DB"/>
    <w:rsid w:val="00445C86"/>
    <w:rsid w:val="00445D3D"/>
    <w:rsid w:val="00445E97"/>
    <w:rsid w:val="0044625A"/>
    <w:rsid w:val="004472A7"/>
    <w:rsid w:val="00447957"/>
    <w:rsid w:val="00447CDD"/>
    <w:rsid w:val="00447F60"/>
    <w:rsid w:val="0045036F"/>
    <w:rsid w:val="0045059F"/>
    <w:rsid w:val="004506AE"/>
    <w:rsid w:val="004510C5"/>
    <w:rsid w:val="00451ED4"/>
    <w:rsid w:val="004525EE"/>
    <w:rsid w:val="00453A56"/>
    <w:rsid w:val="00454621"/>
    <w:rsid w:val="0045492C"/>
    <w:rsid w:val="00454D58"/>
    <w:rsid w:val="00455169"/>
    <w:rsid w:val="00455271"/>
    <w:rsid w:val="00455573"/>
    <w:rsid w:val="00455D62"/>
    <w:rsid w:val="00455EDD"/>
    <w:rsid w:val="004561F7"/>
    <w:rsid w:val="00456CFD"/>
    <w:rsid w:val="00457158"/>
    <w:rsid w:val="00457DB0"/>
    <w:rsid w:val="0046098F"/>
    <w:rsid w:val="004612D3"/>
    <w:rsid w:val="00461E05"/>
    <w:rsid w:val="00461E1F"/>
    <w:rsid w:val="00461F23"/>
    <w:rsid w:val="00463282"/>
    <w:rsid w:val="00463EDB"/>
    <w:rsid w:val="004643D7"/>
    <w:rsid w:val="004645F6"/>
    <w:rsid w:val="004648C4"/>
    <w:rsid w:val="00464F8E"/>
    <w:rsid w:val="004653AE"/>
    <w:rsid w:val="00465496"/>
    <w:rsid w:val="0046552F"/>
    <w:rsid w:val="004657FC"/>
    <w:rsid w:val="00466FDF"/>
    <w:rsid w:val="004673E8"/>
    <w:rsid w:val="00467781"/>
    <w:rsid w:val="0046783B"/>
    <w:rsid w:val="00467CC3"/>
    <w:rsid w:val="004700BC"/>
    <w:rsid w:val="004700F9"/>
    <w:rsid w:val="004702D0"/>
    <w:rsid w:val="0047067F"/>
    <w:rsid w:val="00470E0B"/>
    <w:rsid w:val="00471272"/>
    <w:rsid w:val="00471CCC"/>
    <w:rsid w:val="00471F49"/>
    <w:rsid w:val="0047233D"/>
    <w:rsid w:val="004725A9"/>
    <w:rsid w:val="00472855"/>
    <w:rsid w:val="00472A70"/>
    <w:rsid w:val="0047321B"/>
    <w:rsid w:val="00474078"/>
    <w:rsid w:val="00474351"/>
    <w:rsid w:val="00474420"/>
    <w:rsid w:val="00475245"/>
    <w:rsid w:val="00475257"/>
    <w:rsid w:val="00475426"/>
    <w:rsid w:val="00475678"/>
    <w:rsid w:val="00475DB8"/>
    <w:rsid w:val="00475DDB"/>
    <w:rsid w:val="0047620D"/>
    <w:rsid w:val="00476536"/>
    <w:rsid w:val="00476A7A"/>
    <w:rsid w:val="00476E12"/>
    <w:rsid w:val="004779A0"/>
    <w:rsid w:val="00480194"/>
    <w:rsid w:val="0048031E"/>
    <w:rsid w:val="004807BB"/>
    <w:rsid w:val="0048082C"/>
    <w:rsid w:val="00480D1F"/>
    <w:rsid w:val="0048143D"/>
    <w:rsid w:val="004815FF"/>
    <w:rsid w:val="00482549"/>
    <w:rsid w:val="00482720"/>
    <w:rsid w:val="00482C2F"/>
    <w:rsid w:val="00482E83"/>
    <w:rsid w:val="00482FD3"/>
    <w:rsid w:val="00483076"/>
    <w:rsid w:val="00483118"/>
    <w:rsid w:val="00483347"/>
    <w:rsid w:val="004834D3"/>
    <w:rsid w:val="0048471E"/>
    <w:rsid w:val="00484CCE"/>
    <w:rsid w:val="00484DA0"/>
    <w:rsid w:val="00484E35"/>
    <w:rsid w:val="00486FA0"/>
    <w:rsid w:val="0048707F"/>
    <w:rsid w:val="00487240"/>
    <w:rsid w:val="00487296"/>
    <w:rsid w:val="00487350"/>
    <w:rsid w:val="00487355"/>
    <w:rsid w:val="004877C6"/>
    <w:rsid w:val="00487975"/>
    <w:rsid w:val="0049007F"/>
    <w:rsid w:val="0049011E"/>
    <w:rsid w:val="0049027E"/>
    <w:rsid w:val="00490B7A"/>
    <w:rsid w:val="004916E3"/>
    <w:rsid w:val="00492471"/>
    <w:rsid w:val="00492737"/>
    <w:rsid w:val="00492AAC"/>
    <w:rsid w:val="00492CBD"/>
    <w:rsid w:val="00492D91"/>
    <w:rsid w:val="0049326C"/>
    <w:rsid w:val="00493346"/>
    <w:rsid w:val="00493368"/>
    <w:rsid w:val="00493D12"/>
    <w:rsid w:val="004943C3"/>
    <w:rsid w:val="004943E3"/>
    <w:rsid w:val="004946AB"/>
    <w:rsid w:val="00495C85"/>
    <w:rsid w:val="00496731"/>
    <w:rsid w:val="00496784"/>
    <w:rsid w:val="00496A9B"/>
    <w:rsid w:val="00496AE6"/>
    <w:rsid w:val="00497057"/>
    <w:rsid w:val="0049729A"/>
    <w:rsid w:val="004A05D7"/>
    <w:rsid w:val="004A082B"/>
    <w:rsid w:val="004A0E4D"/>
    <w:rsid w:val="004A131B"/>
    <w:rsid w:val="004A162F"/>
    <w:rsid w:val="004A1958"/>
    <w:rsid w:val="004A1A2F"/>
    <w:rsid w:val="004A1C28"/>
    <w:rsid w:val="004A2498"/>
    <w:rsid w:val="004A25AE"/>
    <w:rsid w:val="004A26DF"/>
    <w:rsid w:val="004A2848"/>
    <w:rsid w:val="004A29CD"/>
    <w:rsid w:val="004A2FC6"/>
    <w:rsid w:val="004A3049"/>
    <w:rsid w:val="004A3675"/>
    <w:rsid w:val="004A43B5"/>
    <w:rsid w:val="004A479E"/>
    <w:rsid w:val="004A4AA6"/>
    <w:rsid w:val="004A4C31"/>
    <w:rsid w:val="004A4D23"/>
    <w:rsid w:val="004A59A2"/>
    <w:rsid w:val="004A5C50"/>
    <w:rsid w:val="004A6201"/>
    <w:rsid w:val="004A622D"/>
    <w:rsid w:val="004A643A"/>
    <w:rsid w:val="004A6569"/>
    <w:rsid w:val="004A66ED"/>
    <w:rsid w:val="004A6BF7"/>
    <w:rsid w:val="004A6DDD"/>
    <w:rsid w:val="004A7BAC"/>
    <w:rsid w:val="004A7DE3"/>
    <w:rsid w:val="004B05BD"/>
    <w:rsid w:val="004B0EEB"/>
    <w:rsid w:val="004B2151"/>
    <w:rsid w:val="004B296F"/>
    <w:rsid w:val="004B2F4E"/>
    <w:rsid w:val="004B2F98"/>
    <w:rsid w:val="004B3167"/>
    <w:rsid w:val="004B341A"/>
    <w:rsid w:val="004B38DF"/>
    <w:rsid w:val="004B3A7B"/>
    <w:rsid w:val="004B3EE4"/>
    <w:rsid w:val="004B49FB"/>
    <w:rsid w:val="004B4B3B"/>
    <w:rsid w:val="004B4DA9"/>
    <w:rsid w:val="004B4FCE"/>
    <w:rsid w:val="004B56C2"/>
    <w:rsid w:val="004B6616"/>
    <w:rsid w:val="004B6D7E"/>
    <w:rsid w:val="004B7008"/>
    <w:rsid w:val="004B734F"/>
    <w:rsid w:val="004B7832"/>
    <w:rsid w:val="004B7BBE"/>
    <w:rsid w:val="004B7FA9"/>
    <w:rsid w:val="004C004F"/>
    <w:rsid w:val="004C03DA"/>
    <w:rsid w:val="004C08EA"/>
    <w:rsid w:val="004C09BA"/>
    <w:rsid w:val="004C09EC"/>
    <w:rsid w:val="004C0AFC"/>
    <w:rsid w:val="004C18E1"/>
    <w:rsid w:val="004C2A1A"/>
    <w:rsid w:val="004C322F"/>
    <w:rsid w:val="004C3CF9"/>
    <w:rsid w:val="004C3DD3"/>
    <w:rsid w:val="004C5116"/>
    <w:rsid w:val="004C517B"/>
    <w:rsid w:val="004C53E8"/>
    <w:rsid w:val="004C618F"/>
    <w:rsid w:val="004C62B9"/>
    <w:rsid w:val="004C641B"/>
    <w:rsid w:val="004C7197"/>
    <w:rsid w:val="004C74BB"/>
    <w:rsid w:val="004C7B12"/>
    <w:rsid w:val="004C7F2D"/>
    <w:rsid w:val="004C7F99"/>
    <w:rsid w:val="004C7FD1"/>
    <w:rsid w:val="004D02E1"/>
    <w:rsid w:val="004D0BC0"/>
    <w:rsid w:val="004D1E67"/>
    <w:rsid w:val="004D1FFC"/>
    <w:rsid w:val="004D2C03"/>
    <w:rsid w:val="004D3219"/>
    <w:rsid w:val="004D3CD8"/>
    <w:rsid w:val="004D3D9C"/>
    <w:rsid w:val="004D4185"/>
    <w:rsid w:val="004D44B1"/>
    <w:rsid w:val="004D46A5"/>
    <w:rsid w:val="004D4C1E"/>
    <w:rsid w:val="004D55B6"/>
    <w:rsid w:val="004D597D"/>
    <w:rsid w:val="004D5999"/>
    <w:rsid w:val="004D60DD"/>
    <w:rsid w:val="004D680E"/>
    <w:rsid w:val="004D6B78"/>
    <w:rsid w:val="004D6BDB"/>
    <w:rsid w:val="004D6C49"/>
    <w:rsid w:val="004D7054"/>
    <w:rsid w:val="004D7954"/>
    <w:rsid w:val="004D7984"/>
    <w:rsid w:val="004E00E4"/>
    <w:rsid w:val="004E06FF"/>
    <w:rsid w:val="004E090F"/>
    <w:rsid w:val="004E0C81"/>
    <w:rsid w:val="004E0D11"/>
    <w:rsid w:val="004E156E"/>
    <w:rsid w:val="004E15AB"/>
    <w:rsid w:val="004E1DC4"/>
    <w:rsid w:val="004E2431"/>
    <w:rsid w:val="004E27F6"/>
    <w:rsid w:val="004E2AC8"/>
    <w:rsid w:val="004E2C54"/>
    <w:rsid w:val="004E2C95"/>
    <w:rsid w:val="004E3A2E"/>
    <w:rsid w:val="004E3DBE"/>
    <w:rsid w:val="004E4278"/>
    <w:rsid w:val="004E47F1"/>
    <w:rsid w:val="004E4834"/>
    <w:rsid w:val="004E508A"/>
    <w:rsid w:val="004E5294"/>
    <w:rsid w:val="004E5B46"/>
    <w:rsid w:val="004E5C28"/>
    <w:rsid w:val="004E6490"/>
    <w:rsid w:val="004E6620"/>
    <w:rsid w:val="004E6AAD"/>
    <w:rsid w:val="004E71F1"/>
    <w:rsid w:val="004E77E6"/>
    <w:rsid w:val="004E7B17"/>
    <w:rsid w:val="004F0E1F"/>
    <w:rsid w:val="004F1181"/>
    <w:rsid w:val="004F1BE8"/>
    <w:rsid w:val="004F2860"/>
    <w:rsid w:val="004F292E"/>
    <w:rsid w:val="004F2BBF"/>
    <w:rsid w:val="004F2BF4"/>
    <w:rsid w:val="004F2FBD"/>
    <w:rsid w:val="004F3273"/>
    <w:rsid w:val="004F32D6"/>
    <w:rsid w:val="004F402F"/>
    <w:rsid w:val="004F4587"/>
    <w:rsid w:val="004F4E5E"/>
    <w:rsid w:val="004F59E4"/>
    <w:rsid w:val="004F5E25"/>
    <w:rsid w:val="004F5E6A"/>
    <w:rsid w:val="004F5EB7"/>
    <w:rsid w:val="004F6053"/>
    <w:rsid w:val="004F6364"/>
    <w:rsid w:val="004F6543"/>
    <w:rsid w:val="004F6C40"/>
    <w:rsid w:val="004F6CCA"/>
    <w:rsid w:val="004F6F86"/>
    <w:rsid w:val="004F6FB7"/>
    <w:rsid w:val="004F743C"/>
    <w:rsid w:val="004F74FE"/>
    <w:rsid w:val="004F794A"/>
    <w:rsid w:val="005006E8"/>
    <w:rsid w:val="00501154"/>
    <w:rsid w:val="005020B3"/>
    <w:rsid w:val="00502126"/>
    <w:rsid w:val="005036BF"/>
    <w:rsid w:val="0050370D"/>
    <w:rsid w:val="005039C6"/>
    <w:rsid w:val="005040BA"/>
    <w:rsid w:val="005044DB"/>
    <w:rsid w:val="00504BB9"/>
    <w:rsid w:val="00504BBD"/>
    <w:rsid w:val="00504D8F"/>
    <w:rsid w:val="005053C2"/>
    <w:rsid w:val="00505FA1"/>
    <w:rsid w:val="0050615C"/>
    <w:rsid w:val="005061AF"/>
    <w:rsid w:val="00506FA5"/>
    <w:rsid w:val="005070D1"/>
    <w:rsid w:val="0050757C"/>
    <w:rsid w:val="00507A85"/>
    <w:rsid w:val="00510073"/>
    <w:rsid w:val="0051060B"/>
    <w:rsid w:val="005109B7"/>
    <w:rsid w:val="00510BCE"/>
    <w:rsid w:val="00511333"/>
    <w:rsid w:val="0051163E"/>
    <w:rsid w:val="005121F2"/>
    <w:rsid w:val="00512401"/>
    <w:rsid w:val="0051265E"/>
    <w:rsid w:val="00513275"/>
    <w:rsid w:val="0051365B"/>
    <w:rsid w:val="00513845"/>
    <w:rsid w:val="005138AA"/>
    <w:rsid w:val="00513AE3"/>
    <w:rsid w:val="00513BBA"/>
    <w:rsid w:val="00513DC3"/>
    <w:rsid w:val="00514C68"/>
    <w:rsid w:val="00514E82"/>
    <w:rsid w:val="005151D9"/>
    <w:rsid w:val="005152DD"/>
    <w:rsid w:val="00515596"/>
    <w:rsid w:val="005159CF"/>
    <w:rsid w:val="00515A5C"/>
    <w:rsid w:val="005163AC"/>
    <w:rsid w:val="00516E5C"/>
    <w:rsid w:val="00516F81"/>
    <w:rsid w:val="00517190"/>
    <w:rsid w:val="005174BA"/>
    <w:rsid w:val="005179DC"/>
    <w:rsid w:val="00517B52"/>
    <w:rsid w:val="00520192"/>
    <w:rsid w:val="0052022B"/>
    <w:rsid w:val="0052023B"/>
    <w:rsid w:val="00520415"/>
    <w:rsid w:val="00520639"/>
    <w:rsid w:val="00520676"/>
    <w:rsid w:val="0052083C"/>
    <w:rsid w:val="005208B4"/>
    <w:rsid w:val="00520C6D"/>
    <w:rsid w:val="00521925"/>
    <w:rsid w:val="00521F36"/>
    <w:rsid w:val="00522076"/>
    <w:rsid w:val="0052211A"/>
    <w:rsid w:val="0052221B"/>
    <w:rsid w:val="005223AE"/>
    <w:rsid w:val="0052316E"/>
    <w:rsid w:val="0052328F"/>
    <w:rsid w:val="005233E8"/>
    <w:rsid w:val="005235FD"/>
    <w:rsid w:val="0052365D"/>
    <w:rsid w:val="00524212"/>
    <w:rsid w:val="00524745"/>
    <w:rsid w:val="00524A86"/>
    <w:rsid w:val="00524E75"/>
    <w:rsid w:val="00525098"/>
    <w:rsid w:val="005250FA"/>
    <w:rsid w:val="0052555A"/>
    <w:rsid w:val="00526AF8"/>
    <w:rsid w:val="00526F97"/>
    <w:rsid w:val="0052798C"/>
    <w:rsid w:val="005304EB"/>
    <w:rsid w:val="005308BE"/>
    <w:rsid w:val="00530FA7"/>
    <w:rsid w:val="00531566"/>
    <w:rsid w:val="00531E7A"/>
    <w:rsid w:val="00531E84"/>
    <w:rsid w:val="00532528"/>
    <w:rsid w:val="005326FD"/>
    <w:rsid w:val="00532E50"/>
    <w:rsid w:val="00532FA2"/>
    <w:rsid w:val="00533194"/>
    <w:rsid w:val="00533226"/>
    <w:rsid w:val="00533348"/>
    <w:rsid w:val="00533D1C"/>
    <w:rsid w:val="0053406B"/>
    <w:rsid w:val="00534206"/>
    <w:rsid w:val="0053459E"/>
    <w:rsid w:val="0053483F"/>
    <w:rsid w:val="005356D0"/>
    <w:rsid w:val="00535AE4"/>
    <w:rsid w:val="00535D2B"/>
    <w:rsid w:val="005370E8"/>
    <w:rsid w:val="005374F3"/>
    <w:rsid w:val="00537834"/>
    <w:rsid w:val="00537F96"/>
    <w:rsid w:val="00540268"/>
    <w:rsid w:val="00540798"/>
    <w:rsid w:val="00540D4C"/>
    <w:rsid w:val="00540E97"/>
    <w:rsid w:val="00540FF2"/>
    <w:rsid w:val="0054186F"/>
    <w:rsid w:val="00541A63"/>
    <w:rsid w:val="00541B18"/>
    <w:rsid w:val="00541FB2"/>
    <w:rsid w:val="00542023"/>
    <w:rsid w:val="005423DE"/>
    <w:rsid w:val="005428D0"/>
    <w:rsid w:val="00542907"/>
    <w:rsid w:val="005433D5"/>
    <w:rsid w:val="00543818"/>
    <w:rsid w:val="00543C31"/>
    <w:rsid w:val="00543FAC"/>
    <w:rsid w:val="005440B6"/>
    <w:rsid w:val="00544585"/>
    <w:rsid w:val="00544732"/>
    <w:rsid w:val="00544C8F"/>
    <w:rsid w:val="005456A6"/>
    <w:rsid w:val="00547634"/>
    <w:rsid w:val="00547A81"/>
    <w:rsid w:val="00547D8F"/>
    <w:rsid w:val="00547F75"/>
    <w:rsid w:val="0055000F"/>
    <w:rsid w:val="00550030"/>
    <w:rsid w:val="00550278"/>
    <w:rsid w:val="005502B3"/>
    <w:rsid w:val="00550A08"/>
    <w:rsid w:val="00550E9F"/>
    <w:rsid w:val="0055167A"/>
    <w:rsid w:val="0055197A"/>
    <w:rsid w:val="00551F41"/>
    <w:rsid w:val="00552133"/>
    <w:rsid w:val="005528B2"/>
    <w:rsid w:val="005528C8"/>
    <w:rsid w:val="00552A2A"/>
    <w:rsid w:val="00552F79"/>
    <w:rsid w:val="00553124"/>
    <w:rsid w:val="00554295"/>
    <w:rsid w:val="005552D7"/>
    <w:rsid w:val="0055580E"/>
    <w:rsid w:val="00555B7B"/>
    <w:rsid w:val="00555FB8"/>
    <w:rsid w:val="00556262"/>
    <w:rsid w:val="00556A79"/>
    <w:rsid w:val="00556DFC"/>
    <w:rsid w:val="00556E63"/>
    <w:rsid w:val="00557C15"/>
    <w:rsid w:val="0056096A"/>
    <w:rsid w:val="00560C7A"/>
    <w:rsid w:val="005612F7"/>
    <w:rsid w:val="005614DD"/>
    <w:rsid w:val="0056159E"/>
    <w:rsid w:val="00561A87"/>
    <w:rsid w:val="00561D37"/>
    <w:rsid w:val="005623B2"/>
    <w:rsid w:val="005626D5"/>
    <w:rsid w:val="005627BD"/>
    <w:rsid w:val="00562B6D"/>
    <w:rsid w:val="00563290"/>
    <w:rsid w:val="005634BE"/>
    <w:rsid w:val="005635EA"/>
    <w:rsid w:val="00563B4F"/>
    <w:rsid w:val="00563C0B"/>
    <w:rsid w:val="0056414E"/>
    <w:rsid w:val="0056453E"/>
    <w:rsid w:val="00564D57"/>
    <w:rsid w:val="00564DC1"/>
    <w:rsid w:val="00564FD6"/>
    <w:rsid w:val="005652C5"/>
    <w:rsid w:val="00565408"/>
    <w:rsid w:val="0056547B"/>
    <w:rsid w:val="00565699"/>
    <w:rsid w:val="00565853"/>
    <w:rsid w:val="00565FB8"/>
    <w:rsid w:val="00566105"/>
    <w:rsid w:val="00566C0A"/>
    <w:rsid w:val="00566EC4"/>
    <w:rsid w:val="00567146"/>
    <w:rsid w:val="00567716"/>
    <w:rsid w:val="0057097F"/>
    <w:rsid w:val="00570D52"/>
    <w:rsid w:val="00571394"/>
    <w:rsid w:val="00571445"/>
    <w:rsid w:val="005715C1"/>
    <w:rsid w:val="00571F59"/>
    <w:rsid w:val="00571FD9"/>
    <w:rsid w:val="00571FEA"/>
    <w:rsid w:val="005720FF"/>
    <w:rsid w:val="005726CA"/>
    <w:rsid w:val="00572948"/>
    <w:rsid w:val="00572F10"/>
    <w:rsid w:val="00573046"/>
    <w:rsid w:val="00574652"/>
    <w:rsid w:val="005747CB"/>
    <w:rsid w:val="00575AB7"/>
    <w:rsid w:val="0057610F"/>
    <w:rsid w:val="00576750"/>
    <w:rsid w:val="00576922"/>
    <w:rsid w:val="005769D3"/>
    <w:rsid w:val="00576B5A"/>
    <w:rsid w:val="005777EF"/>
    <w:rsid w:val="00577C97"/>
    <w:rsid w:val="00577D6F"/>
    <w:rsid w:val="00580665"/>
    <w:rsid w:val="005809F8"/>
    <w:rsid w:val="00580B75"/>
    <w:rsid w:val="00580BF8"/>
    <w:rsid w:val="00580C47"/>
    <w:rsid w:val="00582574"/>
    <w:rsid w:val="00582584"/>
    <w:rsid w:val="005825FD"/>
    <w:rsid w:val="00582BCF"/>
    <w:rsid w:val="00583021"/>
    <w:rsid w:val="005835A0"/>
    <w:rsid w:val="005837C8"/>
    <w:rsid w:val="00584337"/>
    <w:rsid w:val="0058480B"/>
    <w:rsid w:val="0058489A"/>
    <w:rsid w:val="005849F2"/>
    <w:rsid w:val="005853AC"/>
    <w:rsid w:val="005855C2"/>
    <w:rsid w:val="005859CA"/>
    <w:rsid w:val="00585A12"/>
    <w:rsid w:val="0058606C"/>
    <w:rsid w:val="00586591"/>
    <w:rsid w:val="00587408"/>
    <w:rsid w:val="00587EA9"/>
    <w:rsid w:val="005916AE"/>
    <w:rsid w:val="00591C01"/>
    <w:rsid w:val="00592212"/>
    <w:rsid w:val="0059227C"/>
    <w:rsid w:val="0059280B"/>
    <w:rsid w:val="00592869"/>
    <w:rsid w:val="0059291B"/>
    <w:rsid w:val="005939D8"/>
    <w:rsid w:val="00593AD6"/>
    <w:rsid w:val="00593B31"/>
    <w:rsid w:val="00593E80"/>
    <w:rsid w:val="00593F72"/>
    <w:rsid w:val="00594595"/>
    <w:rsid w:val="005947DC"/>
    <w:rsid w:val="00594834"/>
    <w:rsid w:val="0059485A"/>
    <w:rsid w:val="00594AD0"/>
    <w:rsid w:val="00594DDE"/>
    <w:rsid w:val="00594E5F"/>
    <w:rsid w:val="00594FB1"/>
    <w:rsid w:val="005950CF"/>
    <w:rsid w:val="00595591"/>
    <w:rsid w:val="00595B78"/>
    <w:rsid w:val="0059685D"/>
    <w:rsid w:val="005969FE"/>
    <w:rsid w:val="00596C5B"/>
    <w:rsid w:val="00596E71"/>
    <w:rsid w:val="00596FAC"/>
    <w:rsid w:val="00597651"/>
    <w:rsid w:val="005979F7"/>
    <w:rsid w:val="00597A08"/>
    <w:rsid w:val="00597AFE"/>
    <w:rsid w:val="005A04A4"/>
    <w:rsid w:val="005A0D2A"/>
    <w:rsid w:val="005A119D"/>
    <w:rsid w:val="005A15CB"/>
    <w:rsid w:val="005A1820"/>
    <w:rsid w:val="005A1992"/>
    <w:rsid w:val="005A212B"/>
    <w:rsid w:val="005A259A"/>
    <w:rsid w:val="005A28C1"/>
    <w:rsid w:val="005A2F64"/>
    <w:rsid w:val="005A314D"/>
    <w:rsid w:val="005A3263"/>
    <w:rsid w:val="005A34F1"/>
    <w:rsid w:val="005A3510"/>
    <w:rsid w:val="005A3761"/>
    <w:rsid w:val="005A42B9"/>
    <w:rsid w:val="005A42C8"/>
    <w:rsid w:val="005A4DB5"/>
    <w:rsid w:val="005A5618"/>
    <w:rsid w:val="005A5A22"/>
    <w:rsid w:val="005A6682"/>
    <w:rsid w:val="005A737F"/>
    <w:rsid w:val="005B03BF"/>
    <w:rsid w:val="005B08ED"/>
    <w:rsid w:val="005B0A3A"/>
    <w:rsid w:val="005B0CEF"/>
    <w:rsid w:val="005B0D3E"/>
    <w:rsid w:val="005B16E2"/>
    <w:rsid w:val="005B1728"/>
    <w:rsid w:val="005B1AE4"/>
    <w:rsid w:val="005B1E6D"/>
    <w:rsid w:val="005B288C"/>
    <w:rsid w:val="005B2B13"/>
    <w:rsid w:val="005B2BA9"/>
    <w:rsid w:val="005B2C37"/>
    <w:rsid w:val="005B2F5B"/>
    <w:rsid w:val="005B344D"/>
    <w:rsid w:val="005B35ED"/>
    <w:rsid w:val="005B379F"/>
    <w:rsid w:val="005B3ED8"/>
    <w:rsid w:val="005B48C8"/>
    <w:rsid w:val="005B4DA6"/>
    <w:rsid w:val="005B526A"/>
    <w:rsid w:val="005B5314"/>
    <w:rsid w:val="005B5EC3"/>
    <w:rsid w:val="005B6168"/>
    <w:rsid w:val="005B66AA"/>
    <w:rsid w:val="005B72B4"/>
    <w:rsid w:val="005B73AB"/>
    <w:rsid w:val="005C0751"/>
    <w:rsid w:val="005C1109"/>
    <w:rsid w:val="005C11B1"/>
    <w:rsid w:val="005C16F2"/>
    <w:rsid w:val="005C1849"/>
    <w:rsid w:val="005C186C"/>
    <w:rsid w:val="005C1A20"/>
    <w:rsid w:val="005C1CC5"/>
    <w:rsid w:val="005C1F6C"/>
    <w:rsid w:val="005C20D6"/>
    <w:rsid w:val="005C21EE"/>
    <w:rsid w:val="005C227E"/>
    <w:rsid w:val="005C2CDC"/>
    <w:rsid w:val="005C3877"/>
    <w:rsid w:val="005C3CBB"/>
    <w:rsid w:val="005C42D6"/>
    <w:rsid w:val="005C4F05"/>
    <w:rsid w:val="005C4F9A"/>
    <w:rsid w:val="005C511D"/>
    <w:rsid w:val="005C5426"/>
    <w:rsid w:val="005C562E"/>
    <w:rsid w:val="005C5C00"/>
    <w:rsid w:val="005C63D9"/>
    <w:rsid w:val="005C6976"/>
    <w:rsid w:val="005C69FE"/>
    <w:rsid w:val="005C6F79"/>
    <w:rsid w:val="005C6FC2"/>
    <w:rsid w:val="005C75DD"/>
    <w:rsid w:val="005C7AE3"/>
    <w:rsid w:val="005C7D08"/>
    <w:rsid w:val="005D0D05"/>
    <w:rsid w:val="005D0D4C"/>
    <w:rsid w:val="005D1570"/>
    <w:rsid w:val="005D1B03"/>
    <w:rsid w:val="005D1C5C"/>
    <w:rsid w:val="005D1D4B"/>
    <w:rsid w:val="005D1D64"/>
    <w:rsid w:val="005D1F66"/>
    <w:rsid w:val="005D31B7"/>
    <w:rsid w:val="005D3829"/>
    <w:rsid w:val="005D38EB"/>
    <w:rsid w:val="005D5465"/>
    <w:rsid w:val="005D564F"/>
    <w:rsid w:val="005D5EC7"/>
    <w:rsid w:val="005D60B0"/>
    <w:rsid w:val="005D64A6"/>
    <w:rsid w:val="005D66C3"/>
    <w:rsid w:val="005D6D81"/>
    <w:rsid w:val="005D6F03"/>
    <w:rsid w:val="005D7112"/>
    <w:rsid w:val="005D7BDC"/>
    <w:rsid w:val="005D7C33"/>
    <w:rsid w:val="005D7D51"/>
    <w:rsid w:val="005D7D92"/>
    <w:rsid w:val="005D7EB6"/>
    <w:rsid w:val="005E0062"/>
    <w:rsid w:val="005E041F"/>
    <w:rsid w:val="005E0CB6"/>
    <w:rsid w:val="005E118E"/>
    <w:rsid w:val="005E138B"/>
    <w:rsid w:val="005E1BE5"/>
    <w:rsid w:val="005E23B9"/>
    <w:rsid w:val="005E3699"/>
    <w:rsid w:val="005E405A"/>
    <w:rsid w:val="005E41B5"/>
    <w:rsid w:val="005E46F0"/>
    <w:rsid w:val="005E4875"/>
    <w:rsid w:val="005E48A0"/>
    <w:rsid w:val="005E4A3B"/>
    <w:rsid w:val="005E4AFF"/>
    <w:rsid w:val="005E4E94"/>
    <w:rsid w:val="005E592C"/>
    <w:rsid w:val="005E6315"/>
    <w:rsid w:val="005E68CF"/>
    <w:rsid w:val="005E6CFA"/>
    <w:rsid w:val="005E6FCC"/>
    <w:rsid w:val="005F014E"/>
    <w:rsid w:val="005F02A4"/>
    <w:rsid w:val="005F0561"/>
    <w:rsid w:val="005F0865"/>
    <w:rsid w:val="005F087B"/>
    <w:rsid w:val="005F0AF3"/>
    <w:rsid w:val="005F0D3F"/>
    <w:rsid w:val="005F17A3"/>
    <w:rsid w:val="005F19CB"/>
    <w:rsid w:val="005F273D"/>
    <w:rsid w:val="005F2819"/>
    <w:rsid w:val="005F2C08"/>
    <w:rsid w:val="005F2C26"/>
    <w:rsid w:val="005F2F76"/>
    <w:rsid w:val="005F3371"/>
    <w:rsid w:val="005F40DD"/>
    <w:rsid w:val="005F475E"/>
    <w:rsid w:val="005F47E1"/>
    <w:rsid w:val="005F4EBA"/>
    <w:rsid w:val="005F55CF"/>
    <w:rsid w:val="005F5E21"/>
    <w:rsid w:val="005F6B6E"/>
    <w:rsid w:val="005F7208"/>
    <w:rsid w:val="005F7533"/>
    <w:rsid w:val="005F754C"/>
    <w:rsid w:val="005F7911"/>
    <w:rsid w:val="005F799C"/>
    <w:rsid w:val="005F7AFD"/>
    <w:rsid w:val="006000DC"/>
    <w:rsid w:val="0060017F"/>
    <w:rsid w:val="00600483"/>
    <w:rsid w:val="006010E1"/>
    <w:rsid w:val="0060138B"/>
    <w:rsid w:val="006013A4"/>
    <w:rsid w:val="006014A3"/>
    <w:rsid w:val="006016E4"/>
    <w:rsid w:val="00601ACD"/>
    <w:rsid w:val="00601E0C"/>
    <w:rsid w:val="00602378"/>
    <w:rsid w:val="006023AE"/>
    <w:rsid w:val="006024F3"/>
    <w:rsid w:val="00602AC4"/>
    <w:rsid w:val="00602E8E"/>
    <w:rsid w:val="00603096"/>
    <w:rsid w:val="00603E1A"/>
    <w:rsid w:val="006044EE"/>
    <w:rsid w:val="006054FE"/>
    <w:rsid w:val="00606C02"/>
    <w:rsid w:val="00606F9B"/>
    <w:rsid w:val="00607B09"/>
    <w:rsid w:val="0061078E"/>
    <w:rsid w:val="00611377"/>
    <w:rsid w:val="00611D0C"/>
    <w:rsid w:val="0061208D"/>
    <w:rsid w:val="006120B4"/>
    <w:rsid w:val="00612B98"/>
    <w:rsid w:val="00612C5C"/>
    <w:rsid w:val="00613124"/>
    <w:rsid w:val="00613D3E"/>
    <w:rsid w:val="00613E65"/>
    <w:rsid w:val="006142B4"/>
    <w:rsid w:val="00614E49"/>
    <w:rsid w:val="00615144"/>
    <w:rsid w:val="006153E9"/>
    <w:rsid w:val="006154FC"/>
    <w:rsid w:val="00615508"/>
    <w:rsid w:val="00615B50"/>
    <w:rsid w:val="0061670D"/>
    <w:rsid w:val="00616FF4"/>
    <w:rsid w:val="0061741A"/>
    <w:rsid w:val="00617989"/>
    <w:rsid w:val="00617B3D"/>
    <w:rsid w:val="00617DE5"/>
    <w:rsid w:val="006203B8"/>
    <w:rsid w:val="006208C3"/>
    <w:rsid w:val="00620E94"/>
    <w:rsid w:val="0062153A"/>
    <w:rsid w:val="006216A6"/>
    <w:rsid w:val="00621984"/>
    <w:rsid w:val="00621D64"/>
    <w:rsid w:val="00622845"/>
    <w:rsid w:val="00622AAB"/>
    <w:rsid w:val="00622D9F"/>
    <w:rsid w:val="00623391"/>
    <w:rsid w:val="00624072"/>
    <w:rsid w:val="006242B7"/>
    <w:rsid w:val="006243D6"/>
    <w:rsid w:val="00624412"/>
    <w:rsid w:val="00624627"/>
    <w:rsid w:val="00625650"/>
    <w:rsid w:val="00625DA8"/>
    <w:rsid w:val="0062624C"/>
    <w:rsid w:val="00626270"/>
    <w:rsid w:val="00626281"/>
    <w:rsid w:val="00626353"/>
    <w:rsid w:val="006270DE"/>
    <w:rsid w:val="006276CA"/>
    <w:rsid w:val="0062796E"/>
    <w:rsid w:val="00627EC7"/>
    <w:rsid w:val="00627F8F"/>
    <w:rsid w:val="00630A9B"/>
    <w:rsid w:val="006316D5"/>
    <w:rsid w:val="0063174F"/>
    <w:rsid w:val="0063175A"/>
    <w:rsid w:val="0063178B"/>
    <w:rsid w:val="00631795"/>
    <w:rsid w:val="00632C4B"/>
    <w:rsid w:val="00632F71"/>
    <w:rsid w:val="00633A87"/>
    <w:rsid w:val="00633DF2"/>
    <w:rsid w:val="00633ED3"/>
    <w:rsid w:val="00633F2F"/>
    <w:rsid w:val="00634820"/>
    <w:rsid w:val="00634A34"/>
    <w:rsid w:val="00635120"/>
    <w:rsid w:val="006355C2"/>
    <w:rsid w:val="006356EA"/>
    <w:rsid w:val="00635890"/>
    <w:rsid w:val="00635BC0"/>
    <w:rsid w:val="00635C9F"/>
    <w:rsid w:val="00635CA0"/>
    <w:rsid w:val="00635D7C"/>
    <w:rsid w:val="006361D4"/>
    <w:rsid w:val="0063684A"/>
    <w:rsid w:val="00636B54"/>
    <w:rsid w:val="00637554"/>
    <w:rsid w:val="00637D6F"/>
    <w:rsid w:val="00640465"/>
    <w:rsid w:val="00640DDA"/>
    <w:rsid w:val="00641518"/>
    <w:rsid w:val="00641817"/>
    <w:rsid w:val="00641833"/>
    <w:rsid w:val="0064192D"/>
    <w:rsid w:val="00641BEC"/>
    <w:rsid w:val="00641FA9"/>
    <w:rsid w:val="0064273F"/>
    <w:rsid w:val="00642950"/>
    <w:rsid w:val="00642B9B"/>
    <w:rsid w:val="00642DCB"/>
    <w:rsid w:val="00642ECE"/>
    <w:rsid w:val="0064353A"/>
    <w:rsid w:val="006436C9"/>
    <w:rsid w:val="00643E00"/>
    <w:rsid w:val="0064529B"/>
    <w:rsid w:val="006454CE"/>
    <w:rsid w:val="00645C0C"/>
    <w:rsid w:val="00646562"/>
    <w:rsid w:val="0064752B"/>
    <w:rsid w:val="006475D8"/>
    <w:rsid w:val="006476E6"/>
    <w:rsid w:val="00650134"/>
    <w:rsid w:val="0065027C"/>
    <w:rsid w:val="006504B5"/>
    <w:rsid w:val="00650CBA"/>
    <w:rsid w:val="00651358"/>
    <w:rsid w:val="0065147D"/>
    <w:rsid w:val="00651560"/>
    <w:rsid w:val="006523B6"/>
    <w:rsid w:val="0065245C"/>
    <w:rsid w:val="0065251D"/>
    <w:rsid w:val="006526C8"/>
    <w:rsid w:val="00652737"/>
    <w:rsid w:val="006530EA"/>
    <w:rsid w:val="006532F6"/>
    <w:rsid w:val="00653B05"/>
    <w:rsid w:val="00653B47"/>
    <w:rsid w:val="00653B58"/>
    <w:rsid w:val="00654135"/>
    <w:rsid w:val="00654DD7"/>
    <w:rsid w:val="00654EC2"/>
    <w:rsid w:val="006551EE"/>
    <w:rsid w:val="006552C5"/>
    <w:rsid w:val="00655E09"/>
    <w:rsid w:val="006566B8"/>
    <w:rsid w:val="00656865"/>
    <w:rsid w:val="006568B9"/>
    <w:rsid w:val="006569BE"/>
    <w:rsid w:val="00656B32"/>
    <w:rsid w:val="00656C07"/>
    <w:rsid w:val="00656DF3"/>
    <w:rsid w:val="00656FE9"/>
    <w:rsid w:val="006571A3"/>
    <w:rsid w:val="006573C7"/>
    <w:rsid w:val="006575E7"/>
    <w:rsid w:val="00657AA3"/>
    <w:rsid w:val="00657B3A"/>
    <w:rsid w:val="00657D91"/>
    <w:rsid w:val="006606B2"/>
    <w:rsid w:val="0066093F"/>
    <w:rsid w:val="00661024"/>
    <w:rsid w:val="00661380"/>
    <w:rsid w:val="006617E0"/>
    <w:rsid w:val="006618AB"/>
    <w:rsid w:val="00662244"/>
    <w:rsid w:val="00662941"/>
    <w:rsid w:val="00662D61"/>
    <w:rsid w:val="0066355B"/>
    <w:rsid w:val="00663825"/>
    <w:rsid w:val="00663ED6"/>
    <w:rsid w:val="00664248"/>
    <w:rsid w:val="00664411"/>
    <w:rsid w:val="00664D65"/>
    <w:rsid w:val="00664F47"/>
    <w:rsid w:val="0066522F"/>
    <w:rsid w:val="006652D5"/>
    <w:rsid w:val="0066570B"/>
    <w:rsid w:val="006659B0"/>
    <w:rsid w:val="00665E69"/>
    <w:rsid w:val="006662C1"/>
    <w:rsid w:val="00666809"/>
    <w:rsid w:val="00666C4F"/>
    <w:rsid w:val="00666CDC"/>
    <w:rsid w:val="00667442"/>
    <w:rsid w:val="00667816"/>
    <w:rsid w:val="0067073E"/>
    <w:rsid w:val="00670E6E"/>
    <w:rsid w:val="00670FAC"/>
    <w:rsid w:val="00670FEF"/>
    <w:rsid w:val="00672073"/>
    <w:rsid w:val="006721D8"/>
    <w:rsid w:val="0067297B"/>
    <w:rsid w:val="006731BF"/>
    <w:rsid w:val="006731F8"/>
    <w:rsid w:val="00673449"/>
    <w:rsid w:val="006736B6"/>
    <w:rsid w:val="00673C8A"/>
    <w:rsid w:val="00674259"/>
    <w:rsid w:val="0067440B"/>
    <w:rsid w:val="0067542B"/>
    <w:rsid w:val="006755EA"/>
    <w:rsid w:val="00675744"/>
    <w:rsid w:val="00675EDA"/>
    <w:rsid w:val="00676298"/>
    <w:rsid w:val="0067654A"/>
    <w:rsid w:val="00676847"/>
    <w:rsid w:val="00676F30"/>
    <w:rsid w:val="006771C4"/>
    <w:rsid w:val="006775A1"/>
    <w:rsid w:val="00677774"/>
    <w:rsid w:val="006777C7"/>
    <w:rsid w:val="0067787D"/>
    <w:rsid w:val="006806A5"/>
    <w:rsid w:val="00680970"/>
    <w:rsid w:val="00681070"/>
    <w:rsid w:val="006812E3"/>
    <w:rsid w:val="006816D9"/>
    <w:rsid w:val="006817AE"/>
    <w:rsid w:val="00681800"/>
    <w:rsid w:val="00681F9C"/>
    <w:rsid w:val="00682611"/>
    <w:rsid w:val="00682643"/>
    <w:rsid w:val="00682FA5"/>
    <w:rsid w:val="0068311D"/>
    <w:rsid w:val="00683838"/>
    <w:rsid w:val="006839A1"/>
    <w:rsid w:val="00683C9E"/>
    <w:rsid w:val="0068471D"/>
    <w:rsid w:val="00684D8B"/>
    <w:rsid w:val="00685981"/>
    <w:rsid w:val="00685BBF"/>
    <w:rsid w:val="00685CA5"/>
    <w:rsid w:val="0068607B"/>
    <w:rsid w:val="00686200"/>
    <w:rsid w:val="00686208"/>
    <w:rsid w:val="006867C2"/>
    <w:rsid w:val="006868A7"/>
    <w:rsid w:val="00686DE7"/>
    <w:rsid w:val="006872A0"/>
    <w:rsid w:val="00687958"/>
    <w:rsid w:val="00687BDB"/>
    <w:rsid w:val="00690521"/>
    <w:rsid w:val="006906E6"/>
    <w:rsid w:val="00690BCE"/>
    <w:rsid w:val="0069139E"/>
    <w:rsid w:val="006916AB"/>
    <w:rsid w:val="0069228B"/>
    <w:rsid w:val="006924BC"/>
    <w:rsid w:val="00692531"/>
    <w:rsid w:val="00693706"/>
    <w:rsid w:val="00693B97"/>
    <w:rsid w:val="00694102"/>
    <w:rsid w:val="006944EE"/>
    <w:rsid w:val="00694519"/>
    <w:rsid w:val="0069463C"/>
    <w:rsid w:val="00694A34"/>
    <w:rsid w:val="00694A87"/>
    <w:rsid w:val="00694A98"/>
    <w:rsid w:val="00695AF9"/>
    <w:rsid w:val="00696384"/>
    <w:rsid w:val="00696DB2"/>
    <w:rsid w:val="006A0548"/>
    <w:rsid w:val="006A05B9"/>
    <w:rsid w:val="006A0B46"/>
    <w:rsid w:val="006A150F"/>
    <w:rsid w:val="006A165E"/>
    <w:rsid w:val="006A18EB"/>
    <w:rsid w:val="006A190F"/>
    <w:rsid w:val="006A1EBD"/>
    <w:rsid w:val="006A1FB3"/>
    <w:rsid w:val="006A1FD5"/>
    <w:rsid w:val="006A2030"/>
    <w:rsid w:val="006A2D3B"/>
    <w:rsid w:val="006A320E"/>
    <w:rsid w:val="006A42C4"/>
    <w:rsid w:val="006A47CD"/>
    <w:rsid w:val="006A4EFB"/>
    <w:rsid w:val="006A50E3"/>
    <w:rsid w:val="006A552D"/>
    <w:rsid w:val="006A57EB"/>
    <w:rsid w:val="006A5F9A"/>
    <w:rsid w:val="006A6587"/>
    <w:rsid w:val="006A703D"/>
    <w:rsid w:val="006A7D42"/>
    <w:rsid w:val="006A7E0C"/>
    <w:rsid w:val="006B07B3"/>
    <w:rsid w:val="006B089B"/>
    <w:rsid w:val="006B0A6F"/>
    <w:rsid w:val="006B0CE7"/>
    <w:rsid w:val="006B0E16"/>
    <w:rsid w:val="006B1650"/>
    <w:rsid w:val="006B1C5C"/>
    <w:rsid w:val="006B217D"/>
    <w:rsid w:val="006B33B9"/>
    <w:rsid w:val="006B3936"/>
    <w:rsid w:val="006B4397"/>
    <w:rsid w:val="006B55D6"/>
    <w:rsid w:val="006B58CA"/>
    <w:rsid w:val="006B5DC9"/>
    <w:rsid w:val="006B5E51"/>
    <w:rsid w:val="006B60D9"/>
    <w:rsid w:val="006B6DC8"/>
    <w:rsid w:val="006B751A"/>
    <w:rsid w:val="006B7537"/>
    <w:rsid w:val="006B754B"/>
    <w:rsid w:val="006B7683"/>
    <w:rsid w:val="006B7846"/>
    <w:rsid w:val="006C02AC"/>
    <w:rsid w:val="006C02E7"/>
    <w:rsid w:val="006C02FC"/>
    <w:rsid w:val="006C0A19"/>
    <w:rsid w:val="006C0C1E"/>
    <w:rsid w:val="006C1283"/>
    <w:rsid w:val="006C1DF6"/>
    <w:rsid w:val="006C2871"/>
    <w:rsid w:val="006C2FC6"/>
    <w:rsid w:val="006C30AA"/>
    <w:rsid w:val="006C31B6"/>
    <w:rsid w:val="006C3A95"/>
    <w:rsid w:val="006C3B72"/>
    <w:rsid w:val="006C3C36"/>
    <w:rsid w:val="006C3DAA"/>
    <w:rsid w:val="006C41AB"/>
    <w:rsid w:val="006C4E2D"/>
    <w:rsid w:val="006C555A"/>
    <w:rsid w:val="006C555B"/>
    <w:rsid w:val="006C58F1"/>
    <w:rsid w:val="006C5BC0"/>
    <w:rsid w:val="006C5F46"/>
    <w:rsid w:val="006C5F68"/>
    <w:rsid w:val="006C619E"/>
    <w:rsid w:val="006C697D"/>
    <w:rsid w:val="006C6B8A"/>
    <w:rsid w:val="006C7362"/>
    <w:rsid w:val="006C756B"/>
    <w:rsid w:val="006D049F"/>
    <w:rsid w:val="006D0640"/>
    <w:rsid w:val="006D0700"/>
    <w:rsid w:val="006D0A92"/>
    <w:rsid w:val="006D0AAE"/>
    <w:rsid w:val="006D0FB4"/>
    <w:rsid w:val="006D13FE"/>
    <w:rsid w:val="006D1611"/>
    <w:rsid w:val="006D1909"/>
    <w:rsid w:val="006D1CDA"/>
    <w:rsid w:val="006D1F83"/>
    <w:rsid w:val="006D28FC"/>
    <w:rsid w:val="006D2996"/>
    <w:rsid w:val="006D2E4D"/>
    <w:rsid w:val="006D2F12"/>
    <w:rsid w:val="006D318B"/>
    <w:rsid w:val="006D3293"/>
    <w:rsid w:val="006D3991"/>
    <w:rsid w:val="006D3B20"/>
    <w:rsid w:val="006D41DF"/>
    <w:rsid w:val="006D44B6"/>
    <w:rsid w:val="006D4B8D"/>
    <w:rsid w:val="006D4BD1"/>
    <w:rsid w:val="006D4F1F"/>
    <w:rsid w:val="006D5998"/>
    <w:rsid w:val="006D655A"/>
    <w:rsid w:val="006D67DE"/>
    <w:rsid w:val="006D72CA"/>
    <w:rsid w:val="006E04E4"/>
    <w:rsid w:val="006E082B"/>
    <w:rsid w:val="006E093C"/>
    <w:rsid w:val="006E09C9"/>
    <w:rsid w:val="006E1896"/>
    <w:rsid w:val="006E207C"/>
    <w:rsid w:val="006E216A"/>
    <w:rsid w:val="006E28BB"/>
    <w:rsid w:val="006E2B9D"/>
    <w:rsid w:val="006E2BB5"/>
    <w:rsid w:val="006E2D58"/>
    <w:rsid w:val="006E2EB6"/>
    <w:rsid w:val="006E31BC"/>
    <w:rsid w:val="006E3BA6"/>
    <w:rsid w:val="006E3CFC"/>
    <w:rsid w:val="006E3FCC"/>
    <w:rsid w:val="006E43BD"/>
    <w:rsid w:val="006E44A3"/>
    <w:rsid w:val="006E44F1"/>
    <w:rsid w:val="006E4F36"/>
    <w:rsid w:val="006E580D"/>
    <w:rsid w:val="006E64E3"/>
    <w:rsid w:val="006E6651"/>
    <w:rsid w:val="006E71FE"/>
    <w:rsid w:val="006E784C"/>
    <w:rsid w:val="006E7C3E"/>
    <w:rsid w:val="006F0455"/>
    <w:rsid w:val="006F07CD"/>
    <w:rsid w:val="006F0AB1"/>
    <w:rsid w:val="006F0ED9"/>
    <w:rsid w:val="006F1080"/>
    <w:rsid w:val="006F1232"/>
    <w:rsid w:val="006F1481"/>
    <w:rsid w:val="006F1486"/>
    <w:rsid w:val="006F1C66"/>
    <w:rsid w:val="006F1FB4"/>
    <w:rsid w:val="006F216E"/>
    <w:rsid w:val="006F2801"/>
    <w:rsid w:val="006F289B"/>
    <w:rsid w:val="006F2961"/>
    <w:rsid w:val="006F2C38"/>
    <w:rsid w:val="006F2EC0"/>
    <w:rsid w:val="006F3278"/>
    <w:rsid w:val="006F3781"/>
    <w:rsid w:val="006F37FF"/>
    <w:rsid w:val="006F38AC"/>
    <w:rsid w:val="006F47DA"/>
    <w:rsid w:val="006F4CB6"/>
    <w:rsid w:val="006F4CF3"/>
    <w:rsid w:val="006F52BB"/>
    <w:rsid w:val="006F5816"/>
    <w:rsid w:val="006F599A"/>
    <w:rsid w:val="006F5ACA"/>
    <w:rsid w:val="006F61F7"/>
    <w:rsid w:val="006F622E"/>
    <w:rsid w:val="006F6489"/>
    <w:rsid w:val="006F6C96"/>
    <w:rsid w:val="006F6F0E"/>
    <w:rsid w:val="006F6F6F"/>
    <w:rsid w:val="006F7117"/>
    <w:rsid w:val="006F76C4"/>
    <w:rsid w:val="007004FF"/>
    <w:rsid w:val="00700517"/>
    <w:rsid w:val="00700D53"/>
    <w:rsid w:val="007018A3"/>
    <w:rsid w:val="00701985"/>
    <w:rsid w:val="00702652"/>
    <w:rsid w:val="00702BB6"/>
    <w:rsid w:val="00702F15"/>
    <w:rsid w:val="007032DC"/>
    <w:rsid w:val="00703C2B"/>
    <w:rsid w:val="00704455"/>
    <w:rsid w:val="00704797"/>
    <w:rsid w:val="007048E7"/>
    <w:rsid w:val="007052F4"/>
    <w:rsid w:val="00705391"/>
    <w:rsid w:val="0070595D"/>
    <w:rsid w:val="00705A6E"/>
    <w:rsid w:val="00705FA7"/>
    <w:rsid w:val="00706728"/>
    <w:rsid w:val="007075C5"/>
    <w:rsid w:val="00707B99"/>
    <w:rsid w:val="007100E1"/>
    <w:rsid w:val="00710158"/>
    <w:rsid w:val="00710981"/>
    <w:rsid w:val="00710F12"/>
    <w:rsid w:val="007110EB"/>
    <w:rsid w:val="007113D4"/>
    <w:rsid w:val="007120D5"/>
    <w:rsid w:val="00712391"/>
    <w:rsid w:val="0071316B"/>
    <w:rsid w:val="007138A7"/>
    <w:rsid w:val="00713AFF"/>
    <w:rsid w:val="00713D3C"/>
    <w:rsid w:val="00713F36"/>
    <w:rsid w:val="00714CC9"/>
    <w:rsid w:val="00714DE9"/>
    <w:rsid w:val="00715333"/>
    <w:rsid w:val="00715999"/>
    <w:rsid w:val="00715F4F"/>
    <w:rsid w:val="007171E2"/>
    <w:rsid w:val="0071771F"/>
    <w:rsid w:val="0071788A"/>
    <w:rsid w:val="00720092"/>
    <w:rsid w:val="0072033F"/>
    <w:rsid w:val="007204FB"/>
    <w:rsid w:val="007205DC"/>
    <w:rsid w:val="007214F3"/>
    <w:rsid w:val="0072207D"/>
    <w:rsid w:val="00722360"/>
    <w:rsid w:val="007223AC"/>
    <w:rsid w:val="007231FB"/>
    <w:rsid w:val="0072382D"/>
    <w:rsid w:val="00723D59"/>
    <w:rsid w:val="00723D61"/>
    <w:rsid w:val="007246C5"/>
    <w:rsid w:val="007247D1"/>
    <w:rsid w:val="0072491D"/>
    <w:rsid w:val="00724C76"/>
    <w:rsid w:val="00724F17"/>
    <w:rsid w:val="0072524A"/>
    <w:rsid w:val="007258D5"/>
    <w:rsid w:val="00725AEF"/>
    <w:rsid w:val="007263BA"/>
    <w:rsid w:val="00726598"/>
    <w:rsid w:val="00726E87"/>
    <w:rsid w:val="00727272"/>
    <w:rsid w:val="0072739B"/>
    <w:rsid w:val="007276E3"/>
    <w:rsid w:val="00730502"/>
    <w:rsid w:val="00730D01"/>
    <w:rsid w:val="00730EC6"/>
    <w:rsid w:val="0073138D"/>
    <w:rsid w:val="0073180C"/>
    <w:rsid w:val="00731884"/>
    <w:rsid w:val="00731BB1"/>
    <w:rsid w:val="007321AD"/>
    <w:rsid w:val="00732291"/>
    <w:rsid w:val="007324C1"/>
    <w:rsid w:val="00732EF9"/>
    <w:rsid w:val="0073349C"/>
    <w:rsid w:val="00733B8F"/>
    <w:rsid w:val="00733BAA"/>
    <w:rsid w:val="0073445A"/>
    <w:rsid w:val="00734731"/>
    <w:rsid w:val="007348F5"/>
    <w:rsid w:val="00735243"/>
    <w:rsid w:val="007354BD"/>
    <w:rsid w:val="0073584D"/>
    <w:rsid w:val="00735F1B"/>
    <w:rsid w:val="00736730"/>
    <w:rsid w:val="00736A64"/>
    <w:rsid w:val="00736AC9"/>
    <w:rsid w:val="00736CE7"/>
    <w:rsid w:val="00737065"/>
    <w:rsid w:val="00737170"/>
    <w:rsid w:val="00740C3F"/>
    <w:rsid w:val="0074114E"/>
    <w:rsid w:val="00741627"/>
    <w:rsid w:val="0074297C"/>
    <w:rsid w:val="00742BBE"/>
    <w:rsid w:val="00742C7E"/>
    <w:rsid w:val="00742ED2"/>
    <w:rsid w:val="0074334C"/>
    <w:rsid w:val="007433C4"/>
    <w:rsid w:val="007433FC"/>
    <w:rsid w:val="0074442A"/>
    <w:rsid w:val="00744983"/>
    <w:rsid w:val="007449B4"/>
    <w:rsid w:val="00744A45"/>
    <w:rsid w:val="00744EF4"/>
    <w:rsid w:val="0074503E"/>
    <w:rsid w:val="00746085"/>
    <w:rsid w:val="007460E1"/>
    <w:rsid w:val="00746CFB"/>
    <w:rsid w:val="00746F56"/>
    <w:rsid w:val="007473A5"/>
    <w:rsid w:val="0074764E"/>
    <w:rsid w:val="00747A10"/>
    <w:rsid w:val="00747C5B"/>
    <w:rsid w:val="007500CF"/>
    <w:rsid w:val="007501EE"/>
    <w:rsid w:val="007505A0"/>
    <w:rsid w:val="00750634"/>
    <w:rsid w:val="00750662"/>
    <w:rsid w:val="007511A6"/>
    <w:rsid w:val="007513D1"/>
    <w:rsid w:val="007514C1"/>
    <w:rsid w:val="007517F4"/>
    <w:rsid w:val="00751ED4"/>
    <w:rsid w:val="00752804"/>
    <w:rsid w:val="00752C90"/>
    <w:rsid w:val="00752CD3"/>
    <w:rsid w:val="00752E8D"/>
    <w:rsid w:val="0075333C"/>
    <w:rsid w:val="00753479"/>
    <w:rsid w:val="00753752"/>
    <w:rsid w:val="00754D08"/>
    <w:rsid w:val="00754D87"/>
    <w:rsid w:val="0075607D"/>
    <w:rsid w:val="007560DC"/>
    <w:rsid w:val="00756A97"/>
    <w:rsid w:val="0075742B"/>
    <w:rsid w:val="00757949"/>
    <w:rsid w:val="00760539"/>
    <w:rsid w:val="00761E76"/>
    <w:rsid w:val="00762572"/>
    <w:rsid w:val="007627D7"/>
    <w:rsid w:val="007628F8"/>
    <w:rsid w:val="00762E09"/>
    <w:rsid w:val="007641B0"/>
    <w:rsid w:val="0076480C"/>
    <w:rsid w:val="00764DCC"/>
    <w:rsid w:val="0076504D"/>
    <w:rsid w:val="0076552C"/>
    <w:rsid w:val="007655AE"/>
    <w:rsid w:val="00765DDE"/>
    <w:rsid w:val="007664B2"/>
    <w:rsid w:val="0076691C"/>
    <w:rsid w:val="0076733F"/>
    <w:rsid w:val="0076756D"/>
    <w:rsid w:val="007679D0"/>
    <w:rsid w:val="0077000D"/>
    <w:rsid w:val="00770736"/>
    <w:rsid w:val="007718F3"/>
    <w:rsid w:val="00771D0A"/>
    <w:rsid w:val="007723E6"/>
    <w:rsid w:val="00772598"/>
    <w:rsid w:val="0077259F"/>
    <w:rsid w:val="00772989"/>
    <w:rsid w:val="00773E03"/>
    <w:rsid w:val="00773FBD"/>
    <w:rsid w:val="0077404D"/>
    <w:rsid w:val="00774762"/>
    <w:rsid w:val="00774D55"/>
    <w:rsid w:val="0077520E"/>
    <w:rsid w:val="0077524A"/>
    <w:rsid w:val="00775512"/>
    <w:rsid w:val="00776EDF"/>
    <w:rsid w:val="007776F9"/>
    <w:rsid w:val="007804AF"/>
    <w:rsid w:val="00780D25"/>
    <w:rsid w:val="00780FFC"/>
    <w:rsid w:val="00781177"/>
    <w:rsid w:val="0078223B"/>
    <w:rsid w:val="0078275B"/>
    <w:rsid w:val="00782997"/>
    <w:rsid w:val="00782F46"/>
    <w:rsid w:val="00783424"/>
    <w:rsid w:val="007837A2"/>
    <w:rsid w:val="007838D2"/>
    <w:rsid w:val="00783AE1"/>
    <w:rsid w:val="007841AA"/>
    <w:rsid w:val="007846D5"/>
    <w:rsid w:val="00784AE7"/>
    <w:rsid w:val="00784B7F"/>
    <w:rsid w:val="00784D20"/>
    <w:rsid w:val="00785640"/>
    <w:rsid w:val="007860E0"/>
    <w:rsid w:val="00786310"/>
    <w:rsid w:val="007865B8"/>
    <w:rsid w:val="00786BA0"/>
    <w:rsid w:val="00786FCF"/>
    <w:rsid w:val="0078754D"/>
    <w:rsid w:val="00790114"/>
    <w:rsid w:val="0079036B"/>
    <w:rsid w:val="00790392"/>
    <w:rsid w:val="007905F1"/>
    <w:rsid w:val="00790897"/>
    <w:rsid w:val="00790D48"/>
    <w:rsid w:val="00790F7A"/>
    <w:rsid w:val="007923FA"/>
    <w:rsid w:val="00792A10"/>
    <w:rsid w:val="00793025"/>
    <w:rsid w:val="0079307E"/>
    <w:rsid w:val="00793C2C"/>
    <w:rsid w:val="00795192"/>
    <w:rsid w:val="00795978"/>
    <w:rsid w:val="00795CFE"/>
    <w:rsid w:val="007967BF"/>
    <w:rsid w:val="00797145"/>
    <w:rsid w:val="007977F6"/>
    <w:rsid w:val="00797804"/>
    <w:rsid w:val="00797A07"/>
    <w:rsid w:val="007A017B"/>
    <w:rsid w:val="007A0222"/>
    <w:rsid w:val="007A10C0"/>
    <w:rsid w:val="007A1EEE"/>
    <w:rsid w:val="007A2A3E"/>
    <w:rsid w:val="007A2EF8"/>
    <w:rsid w:val="007A3390"/>
    <w:rsid w:val="007A3600"/>
    <w:rsid w:val="007A3A70"/>
    <w:rsid w:val="007A43D4"/>
    <w:rsid w:val="007A4E03"/>
    <w:rsid w:val="007A50FE"/>
    <w:rsid w:val="007A5143"/>
    <w:rsid w:val="007A5557"/>
    <w:rsid w:val="007A55AD"/>
    <w:rsid w:val="007A5967"/>
    <w:rsid w:val="007A59C0"/>
    <w:rsid w:val="007A5BDA"/>
    <w:rsid w:val="007A5CC0"/>
    <w:rsid w:val="007A5E2A"/>
    <w:rsid w:val="007A621E"/>
    <w:rsid w:val="007A67C6"/>
    <w:rsid w:val="007A692E"/>
    <w:rsid w:val="007A69DC"/>
    <w:rsid w:val="007A6C42"/>
    <w:rsid w:val="007A6F8C"/>
    <w:rsid w:val="007A75F3"/>
    <w:rsid w:val="007A780E"/>
    <w:rsid w:val="007A7AD0"/>
    <w:rsid w:val="007B02E5"/>
    <w:rsid w:val="007B0354"/>
    <w:rsid w:val="007B06E4"/>
    <w:rsid w:val="007B11D2"/>
    <w:rsid w:val="007B11D4"/>
    <w:rsid w:val="007B1B62"/>
    <w:rsid w:val="007B2437"/>
    <w:rsid w:val="007B27BD"/>
    <w:rsid w:val="007B28E1"/>
    <w:rsid w:val="007B2BB9"/>
    <w:rsid w:val="007B2D57"/>
    <w:rsid w:val="007B2FB7"/>
    <w:rsid w:val="007B31B0"/>
    <w:rsid w:val="007B4B75"/>
    <w:rsid w:val="007B4CA3"/>
    <w:rsid w:val="007B50FC"/>
    <w:rsid w:val="007B5169"/>
    <w:rsid w:val="007B6351"/>
    <w:rsid w:val="007B6391"/>
    <w:rsid w:val="007B66C2"/>
    <w:rsid w:val="007B66FE"/>
    <w:rsid w:val="007B68C4"/>
    <w:rsid w:val="007B6C5A"/>
    <w:rsid w:val="007B726B"/>
    <w:rsid w:val="007B7809"/>
    <w:rsid w:val="007B7F31"/>
    <w:rsid w:val="007B7FE1"/>
    <w:rsid w:val="007C0D33"/>
    <w:rsid w:val="007C0D77"/>
    <w:rsid w:val="007C10AB"/>
    <w:rsid w:val="007C1682"/>
    <w:rsid w:val="007C17DE"/>
    <w:rsid w:val="007C214E"/>
    <w:rsid w:val="007C25B4"/>
    <w:rsid w:val="007C280D"/>
    <w:rsid w:val="007C3420"/>
    <w:rsid w:val="007C42DF"/>
    <w:rsid w:val="007C4439"/>
    <w:rsid w:val="007C44AA"/>
    <w:rsid w:val="007C4602"/>
    <w:rsid w:val="007C4AE4"/>
    <w:rsid w:val="007C4B38"/>
    <w:rsid w:val="007C4CF4"/>
    <w:rsid w:val="007C5491"/>
    <w:rsid w:val="007C594F"/>
    <w:rsid w:val="007C6469"/>
    <w:rsid w:val="007C65D1"/>
    <w:rsid w:val="007C66A6"/>
    <w:rsid w:val="007C685C"/>
    <w:rsid w:val="007C6961"/>
    <w:rsid w:val="007C6D35"/>
    <w:rsid w:val="007C72C2"/>
    <w:rsid w:val="007C74D5"/>
    <w:rsid w:val="007C7545"/>
    <w:rsid w:val="007C773F"/>
    <w:rsid w:val="007C7C66"/>
    <w:rsid w:val="007C7CF8"/>
    <w:rsid w:val="007C7EE5"/>
    <w:rsid w:val="007D0CBF"/>
    <w:rsid w:val="007D0FBC"/>
    <w:rsid w:val="007D1157"/>
    <w:rsid w:val="007D1BB8"/>
    <w:rsid w:val="007D1DED"/>
    <w:rsid w:val="007D253D"/>
    <w:rsid w:val="007D2575"/>
    <w:rsid w:val="007D2958"/>
    <w:rsid w:val="007D2B76"/>
    <w:rsid w:val="007D2E2B"/>
    <w:rsid w:val="007D3E88"/>
    <w:rsid w:val="007D3EC2"/>
    <w:rsid w:val="007D4030"/>
    <w:rsid w:val="007D4137"/>
    <w:rsid w:val="007D4DD3"/>
    <w:rsid w:val="007D6795"/>
    <w:rsid w:val="007D6CFF"/>
    <w:rsid w:val="007D6D0C"/>
    <w:rsid w:val="007D6EB1"/>
    <w:rsid w:val="007D71A9"/>
    <w:rsid w:val="007D7447"/>
    <w:rsid w:val="007D7C1A"/>
    <w:rsid w:val="007D7DC3"/>
    <w:rsid w:val="007E09A5"/>
    <w:rsid w:val="007E13F1"/>
    <w:rsid w:val="007E16BC"/>
    <w:rsid w:val="007E1F12"/>
    <w:rsid w:val="007E200A"/>
    <w:rsid w:val="007E2098"/>
    <w:rsid w:val="007E23E4"/>
    <w:rsid w:val="007E24AA"/>
    <w:rsid w:val="007E3099"/>
    <w:rsid w:val="007E41AF"/>
    <w:rsid w:val="007E46F2"/>
    <w:rsid w:val="007E4C4F"/>
    <w:rsid w:val="007E5044"/>
    <w:rsid w:val="007E5494"/>
    <w:rsid w:val="007E60AB"/>
    <w:rsid w:val="007E61FB"/>
    <w:rsid w:val="007E6581"/>
    <w:rsid w:val="007E699B"/>
    <w:rsid w:val="007E79F2"/>
    <w:rsid w:val="007E7F23"/>
    <w:rsid w:val="007F0212"/>
    <w:rsid w:val="007F0A14"/>
    <w:rsid w:val="007F15B5"/>
    <w:rsid w:val="007F1D50"/>
    <w:rsid w:val="007F2D2E"/>
    <w:rsid w:val="007F320F"/>
    <w:rsid w:val="007F32AC"/>
    <w:rsid w:val="007F3C60"/>
    <w:rsid w:val="007F4C2F"/>
    <w:rsid w:val="007F55B1"/>
    <w:rsid w:val="007F5BA8"/>
    <w:rsid w:val="007F5F74"/>
    <w:rsid w:val="007F647C"/>
    <w:rsid w:val="007F7ABC"/>
    <w:rsid w:val="00800DB4"/>
    <w:rsid w:val="008011E6"/>
    <w:rsid w:val="00801433"/>
    <w:rsid w:val="008017F4"/>
    <w:rsid w:val="00801B70"/>
    <w:rsid w:val="00802616"/>
    <w:rsid w:val="008027D1"/>
    <w:rsid w:val="0080292E"/>
    <w:rsid w:val="00802BDA"/>
    <w:rsid w:val="00802FC8"/>
    <w:rsid w:val="008039E6"/>
    <w:rsid w:val="00803A68"/>
    <w:rsid w:val="00803AE6"/>
    <w:rsid w:val="00803B39"/>
    <w:rsid w:val="008044D2"/>
    <w:rsid w:val="008045D3"/>
    <w:rsid w:val="0080514E"/>
    <w:rsid w:val="00805357"/>
    <w:rsid w:val="00805832"/>
    <w:rsid w:val="00805843"/>
    <w:rsid w:val="00806320"/>
    <w:rsid w:val="00806A00"/>
    <w:rsid w:val="00806EBA"/>
    <w:rsid w:val="00806F1F"/>
    <w:rsid w:val="00807550"/>
    <w:rsid w:val="008079D5"/>
    <w:rsid w:val="00807D3E"/>
    <w:rsid w:val="0081038D"/>
    <w:rsid w:val="008106F6"/>
    <w:rsid w:val="00810708"/>
    <w:rsid w:val="00810BD5"/>
    <w:rsid w:val="00810FE7"/>
    <w:rsid w:val="008111B4"/>
    <w:rsid w:val="0081182B"/>
    <w:rsid w:val="00812031"/>
    <w:rsid w:val="00812298"/>
    <w:rsid w:val="00812803"/>
    <w:rsid w:val="00812A68"/>
    <w:rsid w:val="00812B76"/>
    <w:rsid w:val="00812F3A"/>
    <w:rsid w:val="00813839"/>
    <w:rsid w:val="0081418C"/>
    <w:rsid w:val="008143E0"/>
    <w:rsid w:val="0081440C"/>
    <w:rsid w:val="00814445"/>
    <w:rsid w:val="00814890"/>
    <w:rsid w:val="00814BB5"/>
    <w:rsid w:val="00815049"/>
    <w:rsid w:val="008151D8"/>
    <w:rsid w:val="00815A1E"/>
    <w:rsid w:val="00816049"/>
    <w:rsid w:val="00816495"/>
    <w:rsid w:val="00816499"/>
    <w:rsid w:val="008170C1"/>
    <w:rsid w:val="008173B8"/>
    <w:rsid w:val="00820060"/>
    <w:rsid w:val="008200F2"/>
    <w:rsid w:val="0082151F"/>
    <w:rsid w:val="008215D7"/>
    <w:rsid w:val="00821657"/>
    <w:rsid w:val="0082179A"/>
    <w:rsid w:val="00821AE9"/>
    <w:rsid w:val="00821C31"/>
    <w:rsid w:val="00821F30"/>
    <w:rsid w:val="00822670"/>
    <w:rsid w:val="00822772"/>
    <w:rsid w:val="00823805"/>
    <w:rsid w:val="00823C1C"/>
    <w:rsid w:val="00823F0A"/>
    <w:rsid w:val="008244CE"/>
    <w:rsid w:val="00824684"/>
    <w:rsid w:val="0082487F"/>
    <w:rsid w:val="00824DA5"/>
    <w:rsid w:val="008253D2"/>
    <w:rsid w:val="0082553D"/>
    <w:rsid w:val="0082573A"/>
    <w:rsid w:val="00825791"/>
    <w:rsid w:val="00825DD9"/>
    <w:rsid w:val="00825E56"/>
    <w:rsid w:val="008268BF"/>
    <w:rsid w:val="00826AA4"/>
    <w:rsid w:val="008272E4"/>
    <w:rsid w:val="008276EC"/>
    <w:rsid w:val="00827871"/>
    <w:rsid w:val="00827DC9"/>
    <w:rsid w:val="008302D0"/>
    <w:rsid w:val="0083067E"/>
    <w:rsid w:val="008307B5"/>
    <w:rsid w:val="008309A7"/>
    <w:rsid w:val="00830A03"/>
    <w:rsid w:val="00831056"/>
    <w:rsid w:val="00831C11"/>
    <w:rsid w:val="00832048"/>
    <w:rsid w:val="00833242"/>
    <w:rsid w:val="0083391B"/>
    <w:rsid w:val="008339E0"/>
    <w:rsid w:val="00833C6C"/>
    <w:rsid w:val="00833F14"/>
    <w:rsid w:val="00834128"/>
    <w:rsid w:val="00834202"/>
    <w:rsid w:val="008344D0"/>
    <w:rsid w:val="00834675"/>
    <w:rsid w:val="00834C0B"/>
    <w:rsid w:val="00835005"/>
    <w:rsid w:val="008351C9"/>
    <w:rsid w:val="0083522E"/>
    <w:rsid w:val="0083594C"/>
    <w:rsid w:val="00836474"/>
    <w:rsid w:val="0083724F"/>
    <w:rsid w:val="00837AAE"/>
    <w:rsid w:val="00837C21"/>
    <w:rsid w:val="00840198"/>
    <w:rsid w:val="0084095B"/>
    <w:rsid w:val="00840B82"/>
    <w:rsid w:val="00841899"/>
    <w:rsid w:val="00841A03"/>
    <w:rsid w:val="00841BE0"/>
    <w:rsid w:val="008420A0"/>
    <w:rsid w:val="0084228A"/>
    <w:rsid w:val="00842861"/>
    <w:rsid w:val="00842F8B"/>
    <w:rsid w:val="008431D3"/>
    <w:rsid w:val="00843E93"/>
    <w:rsid w:val="0084530F"/>
    <w:rsid w:val="00845E1A"/>
    <w:rsid w:val="00845FAF"/>
    <w:rsid w:val="00846952"/>
    <w:rsid w:val="00846C34"/>
    <w:rsid w:val="00847127"/>
    <w:rsid w:val="008472F4"/>
    <w:rsid w:val="008477C3"/>
    <w:rsid w:val="00847891"/>
    <w:rsid w:val="008500A9"/>
    <w:rsid w:val="008506B2"/>
    <w:rsid w:val="008508DB"/>
    <w:rsid w:val="008508EC"/>
    <w:rsid w:val="00850DAC"/>
    <w:rsid w:val="00850EAC"/>
    <w:rsid w:val="00851130"/>
    <w:rsid w:val="00851440"/>
    <w:rsid w:val="0085155B"/>
    <w:rsid w:val="008517C9"/>
    <w:rsid w:val="00851B7C"/>
    <w:rsid w:val="00851B9F"/>
    <w:rsid w:val="00852EBC"/>
    <w:rsid w:val="008535C8"/>
    <w:rsid w:val="00853E81"/>
    <w:rsid w:val="00853F35"/>
    <w:rsid w:val="00853FCD"/>
    <w:rsid w:val="008549B3"/>
    <w:rsid w:val="00854CDA"/>
    <w:rsid w:val="00854DD5"/>
    <w:rsid w:val="00854E3C"/>
    <w:rsid w:val="008551E3"/>
    <w:rsid w:val="0085560E"/>
    <w:rsid w:val="00856052"/>
    <w:rsid w:val="008565E5"/>
    <w:rsid w:val="0085669D"/>
    <w:rsid w:val="00856988"/>
    <w:rsid w:val="00856DFF"/>
    <w:rsid w:val="00857423"/>
    <w:rsid w:val="008576F7"/>
    <w:rsid w:val="00857A49"/>
    <w:rsid w:val="00857FE7"/>
    <w:rsid w:val="008600D1"/>
    <w:rsid w:val="008610CA"/>
    <w:rsid w:val="008615F1"/>
    <w:rsid w:val="008616B9"/>
    <w:rsid w:val="00861B5F"/>
    <w:rsid w:val="00861D04"/>
    <w:rsid w:val="00861E42"/>
    <w:rsid w:val="00861F2E"/>
    <w:rsid w:val="00862072"/>
    <w:rsid w:val="0086269E"/>
    <w:rsid w:val="00862845"/>
    <w:rsid w:val="00862D7C"/>
    <w:rsid w:val="00863124"/>
    <w:rsid w:val="0086322B"/>
    <w:rsid w:val="0086391B"/>
    <w:rsid w:val="0086578C"/>
    <w:rsid w:val="0086579C"/>
    <w:rsid w:val="008658DC"/>
    <w:rsid w:val="00865EF3"/>
    <w:rsid w:val="008660A0"/>
    <w:rsid w:val="008666D0"/>
    <w:rsid w:val="00866858"/>
    <w:rsid w:val="00866923"/>
    <w:rsid w:val="00866FEE"/>
    <w:rsid w:val="00867A05"/>
    <w:rsid w:val="00867B6D"/>
    <w:rsid w:val="00867D5B"/>
    <w:rsid w:val="00870262"/>
    <w:rsid w:val="0087034F"/>
    <w:rsid w:val="00870F4C"/>
    <w:rsid w:val="00871367"/>
    <w:rsid w:val="0087198C"/>
    <w:rsid w:val="0087247C"/>
    <w:rsid w:val="0087280B"/>
    <w:rsid w:val="00873444"/>
    <w:rsid w:val="0087345D"/>
    <w:rsid w:val="008737E7"/>
    <w:rsid w:val="00873AC6"/>
    <w:rsid w:val="008746EB"/>
    <w:rsid w:val="00874EFA"/>
    <w:rsid w:val="00875445"/>
    <w:rsid w:val="0087591E"/>
    <w:rsid w:val="00875C12"/>
    <w:rsid w:val="00875D3E"/>
    <w:rsid w:val="00876442"/>
    <w:rsid w:val="008765DB"/>
    <w:rsid w:val="0087665C"/>
    <w:rsid w:val="00877578"/>
    <w:rsid w:val="00877E01"/>
    <w:rsid w:val="00880D30"/>
    <w:rsid w:val="0088119B"/>
    <w:rsid w:val="008816EC"/>
    <w:rsid w:val="00881909"/>
    <w:rsid w:val="008824DE"/>
    <w:rsid w:val="008828A8"/>
    <w:rsid w:val="008829BA"/>
    <w:rsid w:val="00882B9B"/>
    <w:rsid w:val="00882C3F"/>
    <w:rsid w:val="00882D06"/>
    <w:rsid w:val="00883D55"/>
    <w:rsid w:val="00883DE7"/>
    <w:rsid w:val="008843C9"/>
    <w:rsid w:val="0088449E"/>
    <w:rsid w:val="00884B03"/>
    <w:rsid w:val="00884B2F"/>
    <w:rsid w:val="00884EF4"/>
    <w:rsid w:val="00885129"/>
    <w:rsid w:val="0088519E"/>
    <w:rsid w:val="00885838"/>
    <w:rsid w:val="00885856"/>
    <w:rsid w:val="00885943"/>
    <w:rsid w:val="008865F1"/>
    <w:rsid w:val="0088678D"/>
    <w:rsid w:val="00886E7C"/>
    <w:rsid w:val="00887A05"/>
    <w:rsid w:val="00887B80"/>
    <w:rsid w:val="00887BC3"/>
    <w:rsid w:val="00887CB9"/>
    <w:rsid w:val="008904A8"/>
    <w:rsid w:val="008906B5"/>
    <w:rsid w:val="00890827"/>
    <w:rsid w:val="00890CCE"/>
    <w:rsid w:val="00891016"/>
    <w:rsid w:val="00891227"/>
    <w:rsid w:val="00891710"/>
    <w:rsid w:val="00891996"/>
    <w:rsid w:val="00891B59"/>
    <w:rsid w:val="00891BBC"/>
    <w:rsid w:val="0089221B"/>
    <w:rsid w:val="0089361A"/>
    <w:rsid w:val="00893DE6"/>
    <w:rsid w:val="00894151"/>
    <w:rsid w:val="008941B0"/>
    <w:rsid w:val="0089433D"/>
    <w:rsid w:val="00894F2C"/>
    <w:rsid w:val="00895386"/>
    <w:rsid w:val="00895442"/>
    <w:rsid w:val="00895A1D"/>
    <w:rsid w:val="00895A24"/>
    <w:rsid w:val="00895D7A"/>
    <w:rsid w:val="00895F81"/>
    <w:rsid w:val="0089600E"/>
    <w:rsid w:val="00896812"/>
    <w:rsid w:val="00896A15"/>
    <w:rsid w:val="00896BF3"/>
    <w:rsid w:val="00896E99"/>
    <w:rsid w:val="00897651"/>
    <w:rsid w:val="00897A0B"/>
    <w:rsid w:val="00897E0E"/>
    <w:rsid w:val="00897F2A"/>
    <w:rsid w:val="00897F3B"/>
    <w:rsid w:val="008A04F1"/>
    <w:rsid w:val="008A1911"/>
    <w:rsid w:val="008A197A"/>
    <w:rsid w:val="008A1A49"/>
    <w:rsid w:val="008A2041"/>
    <w:rsid w:val="008A20BD"/>
    <w:rsid w:val="008A2357"/>
    <w:rsid w:val="008A2683"/>
    <w:rsid w:val="008A29C0"/>
    <w:rsid w:val="008A34EB"/>
    <w:rsid w:val="008A457D"/>
    <w:rsid w:val="008A468A"/>
    <w:rsid w:val="008A47A1"/>
    <w:rsid w:val="008A4B60"/>
    <w:rsid w:val="008A4D33"/>
    <w:rsid w:val="008A508F"/>
    <w:rsid w:val="008A611A"/>
    <w:rsid w:val="008A6249"/>
    <w:rsid w:val="008A6678"/>
    <w:rsid w:val="008A68B2"/>
    <w:rsid w:val="008A7749"/>
    <w:rsid w:val="008A7B8E"/>
    <w:rsid w:val="008A7DD0"/>
    <w:rsid w:val="008A7DFE"/>
    <w:rsid w:val="008A7E76"/>
    <w:rsid w:val="008A7EC8"/>
    <w:rsid w:val="008A7F99"/>
    <w:rsid w:val="008B0032"/>
    <w:rsid w:val="008B0181"/>
    <w:rsid w:val="008B023C"/>
    <w:rsid w:val="008B0F00"/>
    <w:rsid w:val="008B13E5"/>
    <w:rsid w:val="008B1C77"/>
    <w:rsid w:val="008B2581"/>
    <w:rsid w:val="008B28B0"/>
    <w:rsid w:val="008B2C96"/>
    <w:rsid w:val="008B2FE7"/>
    <w:rsid w:val="008B3263"/>
    <w:rsid w:val="008B3471"/>
    <w:rsid w:val="008B3734"/>
    <w:rsid w:val="008B404D"/>
    <w:rsid w:val="008B430E"/>
    <w:rsid w:val="008B465F"/>
    <w:rsid w:val="008B46B0"/>
    <w:rsid w:val="008B4BD8"/>
    <w:rsid w:val="008B574D"/>
    <w:rsid w:val="008B5B41"/>
    <w:rsid w:val="008B5CEC"/>
    <w:rsid w:val="008B5EFD"/>
    <w:rsid w:val="008B65E8"/>
    <w:rsid w:val="008B6921"/>
    <w:rsid w:val="008B69AD"/>
    <w:rsid w:val="008B6EA5"/>
    <w:rsid w:val="008B6EEA"/>
    <w:rsid w:val="008B7E0D"/>
    <w:rsid w:val="008C04EE"/>
    <w:rsid w:val="008C06DE"/>
    <w:rsid w:val="008C0E3D"/>
    <w:rsid w:val="008C0F48"/>
    <w:rsid w:val="008C151D"/>
    <w:rsid w:val="008C3796"/>
    <w:rsid w:val="008C3CD9"/>
    <w:rsid w:val="008C3F94"/>
    <w:rsid w:val="008C4015"/>
    <w:rsid w:val="008C4365"/>
    <w:rsid w:val="008C44A7"/>
    <w:rsid w:val="008C4707"/>
    <w:rsid w:val="008C4CCA"/>
    <w:rsid w:val="008C53E6"/>
    <w:rsid w:val="008C5EE4"/>
    <w:rsid w:val="008C6698"/>
    <w:rsid w:val="008C7016"/>
    <w:rsid w:val="008C79B6"/>
    <w:rsid w:val="008C7AC5"/>
    <w:rsid w:val="008C7D4B"/>
    <w:rsid w:val="008C7D9F"/>
    <w:rsid w:val="008D016E"/>
    <w:rsid w:val="008D0536"/>
    <w:rsid w:val="008D05F0"/>
    <w:rsid w:val="008D0B63"/>
    <w:rsid w:val="008D15C7"/>
    <w:rsid w:val="008D1A2B"/>
    <w:rsid w:val="008D1E9B"/>
    <w:rsid w:val="008D2218"/>
    <w:rsid w:val="008D2349"/>
    <w:rsid w:val="008D23C4"/>
    <w:rsid w:val="008D2C5F"/>
    <w:rsid w:val="008D2F3B"/>
    <w:rsid w:val="008D30A4"/>
    <w:rsid w:val="008D4498"/>
    <w:rsid w:val="008D4D23"/>
    <w:rsid w:val="008D4F3C"/>
    <w:rsid w:val="008D52CA"/>
    <w:rsid w:val="008D5330"/>
    <w:rsid w:val="008D545C"/>
    <w:rsid w:val="008D5C26"/>
    <w:rsid w:val="008D6353"/>
    <w:rsid w:val="008D6D64"/>
    <w:rsid w:val="008D7362"/>
    <w:rsid w:val="008E035D"/>
    <w:rsid w:val="008E0629"/>
    <w:rsid w:val="008E0B3D"/>
    <w:rsid w:val="008E0E56"/>
    <w:rsid w:val="008E12F4"/>
    <w:rsid w:val="008E18FF"/>
    <w:rsid w:val="008E20DA"/>
    <w:rsid w:val="008E25BF"/>
    <w:rsid w:val="008E297D"/>
    <w:rsid w:val="008E2A98"/>
    <w:rsid w:val="008E2B9C"/>
    <w:rsid w:val="008E2DED"/>
    <w:rsid w:val="008E2E20"/>
    <w:rsid w:val="008E3283"/>
    <w:rsid w:val="008E3A0F"/>
    <w:rsid w:val="008E3F87"/>
    <w:rsid w:val="008E433C"/>
    <w:rsid w:val="008E44AD"/>
    <w:rsid w:val="008E467F"/>
    <w:rsid w:val="008E4A03"/>
    <w:rsid w:val="008E4C7E"/>
    <w:rsid w:val="008E4D08"/>
    <w:rsid w:val="008E59ED"/>
    <w:rsid w:val="008E62FB"/>
    <w:rsid w:val="008E690E"/>
    <w:rsid w:val="008E6A92"/>
    <w:rsid w:val="008E71CC"/>
    <w:rsid w:val="008E7721"/>
    <w:rsid w:val="008E791C"/>
    <w:rsid w:val="008E79F7"/>
    <w:rsid w:val="008F006D"/>
    <w:rsid w:val="008F018A"/>
    <w:rsid w:val="008F04FA"/>
    <w:rsid w:val="008F06D6"/>
    <w:rsid w:val="008F0846"/>
    <w:rsid w:val="008F08E5"/>
    <w:rsid w:val="008F143E"/>
    <w:rsid w:val="008F19C0"/>
    <w:rsid w:val="008F1ECC"/>
    <w:rsid w:val="008F2606"/>
    <w:rsid w:val="008F2E21"/>
    <w:rsid w:val="008F2FC8"/>
    <w:rsid w:val="008F3746"/>
    <w:rsid w:val="008F39C2"/>
    <w:rsid w:val="008F3B11"/>
    <w:rsid w:val="008F4A67"/>
    <w:rsid w:val="008F587C"/>
    <w:rsid w:val="008F592C"/>
    <w:rsid w:val="008F5F67"/>
    <w:rsid w:val="008F650C"/>
    <w:rsid w:val="008F6A53"/>
    <w:rsid w:val="008F6B4B"/>
    <w:rsid w:val="008F6BFB"/>
    <w:rsid w:val="008F6C02"/>
    <w:rsid w:val="008F6C95"/>
    <w:rsid w:val="008F7FC3"/>
    <w:rsid w:val="0090050F"/>
    <w:rsid w:val="0090077F"/>
    <w:rsid w:val="00900AC3"/>
    <w:rsid w:val="009012CD"/>
    <w:rsid w:val="00901668"/>
    <w:rsid w:val="009017FD"/>
    <w:rsid w:val="00901AB0"/>
    <w:rsid w:val="00902092"/>
    <w:rsid w:val="00902E6A"/>
    <w:rsid w:val="00902F21"/>
    <w:rsid w:val="009032FE"/>
    <w:rsid w:val="0090335A"/>
    <w:rsid w:val="009033B4"/>
    <w:rsid w:val="009035F5"/>
    <w:rsid w:val="00903680"/>
    <w:rsid w:val="00903701"/>
    <w:rsid w:val="00903BCF"/>
    <w:rsid w:val="00903DD8"/>
    <w:rsid w:val="00903ECE"/>
    <w:rsid w:val="00905177"/>
    <w:rsid w:val="00905A66"/>
    <w:rsid w:val="0090621E"/>
    <w:rsid w:val="0090622B"/>
    <w:rsid w:val="00906305"/>
    <w:rsid w:val="00906391"/>
    <w:rsid w:val="009068D1"/>
    <w:rsid w:val="00907684"/>
    <w:rsid w:val="00907ADC"/>
    <w:rsid w:val="00907BE7"/>
    <w:rsid w:val="00907CE7"/>
    <w:rsid w:val="009104E7"/>
    <w:rsid w:val="00911288"/>
    <w:rsid w:val="0091131A"/>
    <w:rsid w:val="00911528"/>
    <w:rsid w:val="009116F3"/>
    <w:rsid w:val="00911AF4"/>
    <w:rsid w:val="00911C41"/>
    <w:rsid w:val="00911DE2"/>
    <w:rsid w:val="0091206E"/>
    <w:rsid w:val="009122CA"/>
    <w:rsid w:val="00913121"/>
    <w:rsid w:val="00913587"/>
    <w:rsid w:val="009135E0"/>
    <w:rsid w:val="00913602"/>
    <w:rsid w:val="0091453F"/>
    <w:rsid w:val="00914C27"/>
    <w:rsid w:val="00914E8B"/>
    <w:rsid w:val="009153AB"/>
    <w:rsid w:val="0091540C"/>
    <w:rsid w:val="00915EBA"/>
    <w:rsid w:val="009164C3"/>
    <w:rsid w:val="00916A8D"/>
    <w:rsid w:val="009170AC"/>
    <w:rsid w:val="00917753"/>
    <w:rsid w:val="00917A4E"/>
    <w:rsid w:val="00920402"/>
    <w:rsid w:val="00920AC9"/>
    <w:rsid w:val="00920BA3"/>
    <w:rsid w:val="00920D39"/>
    <w:rsid w:val="00920E2D"/>
    <w:rsid w:val="009217A6"/>
    <w:rsid w:val="00922A56"/>
    <w:rsid w:val="00922FD1"/>
    <w:rsid w:val="0092370D"/>
    <w:rsid w:val="009239B7"/>
    <w:rsid w:val="009246EC"/>
    <w:rsid w:val="00924E0D"/>
    <w:rsid w:val="009251A1"/>
    <w:rsid w:val="009260B2"/>
    <w:rsid w:val="0092610A"/>
    <w:rsid w:val="009265DF"/>
    <w:rsid w:val="00926D76"/>
    <w:rsid w:val="00926EE7"/>
    <w:rsid w:val="009274A1"/>
    <w:rsid w:val="009277D0"/>
    <w:rsid w:val="00927B32"/>
    <w:rsid w:val="00930AD7"/>
    <w:rsid w:val="00931C10"/>
    <w:rsid w:val="00931E42"/>
    <w:rsid w:val="00932001"/>
    <w:rsid w:val="00932168"/>
    <w:rsid w:val="00932DB0"/>
    <w:rsid w:val="00932EB6"/>
    <w:rsid w:val="00932F01"/>
    <w:rsid w:val="00932F91"/>
    <w:rsid w:val="00933373"/>
    <w:rsid w:val="00933824"/>
    <w:rsid w:val="00933B1C"/>
    <w:rsid w:val="0093494A"/>
    <w:rsid w:val="00934983"/>
    <w:rsid w:val="00935215"/>
    <w:rsid w:val="00935371"/>
    <w:rsid w:val="0093563E"/>
    <w:rsid w:val="00935954"/>
    <w:rsid w:val="00936FA4"/>
    <w:rsid w:val="00937018"/>
    <w:rsid w:val="00937287"/>
    <w:rsid w:val="0093755F"/>
    <w:rsid w:val="00937859"/>
    <w:rsid w:val="00937CE4"/>
    <w:rsid w:val="00940248"/>
    <w:rsid w:val="009402EB"/>
    <w:rsid w:val="0094048C"/>
    <w:rsid w:val="00941067"/>
    <w:rsid w:val="00941F6D"/>
    <w:rsid w:val="00942798"/>
    <w:rsid w:val="00942822"/>
    <w:rsid w:val="00942D3A"/>
    <w:rsid w:val="00942E7D"/>
    <w:rsid w:val="009430B1"/>
    <w:rsid w:val="009431B2"/>
    <w:rsid w:val="00943CC8"/>
    <w:rsid w:val="00943F89"/>
    <w:rsid w:val="00944A4B"/>
    <w:rsid w:val="00944C2D"/>
    <w:rsid w:val="00944EA6"/>
    <w:rsid w:val="009451A5"/>
    <w:rsid w:val="00945CCA"/>
    <w:rsid w:val="009468E8"/>
    <w:rsid w:val="00946DC2"/>
    <w:rsid w:val="00947214"/>
    <w:rsid w:val="00950130"/>
    <w:rsid w:val="00950C6C"/>
    <w:rsid w:val="00950CD8"/>
    <w:rsid w:val="00950F0F"/>
    <w:rsid w:val="00951968"/>
    <w:rsid w:val="00951AB1"/>
    <w:rsid w:val="009523BC"/>
    <w:rsid w:val="0095276F"/>
    <w:rsid w:val="0095352D"/>
    <w:rsid w:val="009537F8"/>
    <w:rsid w:val="0095391C"/>
    <w:rsid w:val="00953956"/>
    <w:rsid w:val="00953A22"/>
    <w:rsid w:val="00953EE6"/>
    <w:rsid w:val="00954169"/>
    <w:rsid w:val="00954C69"/>
    <w:rsid w:val="00954D2E"/>
    <w:rsid w:val="0095558C"/>
    <w:rsid w:val="00955E1D"/>
    <w:rsid w:val="00956A82"/>
    <w:rsid w:val="00956BEC"/>
    <w:rsid w:val="00956F18"/>
    <w:rsid w:val="0095726E"/>
    <w:rsid w:val="00957541"/>
    <w:rsid w:val="00957924"/>
    <w:rsid w:val="00957938"/>
    <w:rsid w:val="00957AE9"/>
    <w:rsid w:val="00957AF7"/>
    <w:rsid w:val="009601B1"/>
    <w:rsid w:val="0096025A"/>
    <w:rsid w:val="009603DE"/>
    <w:rsid w:val="009609DE"/>
    <w:rsid w:val="00960A2A"/>
    <w:rsid w:val="00960BA7"/>
    <w:rsid w:val="00960F75"/>
    <w:rsid w:val="0096130A"/>
    <w:rsid w:val="0096143D"/>
    <w:rsid w:val="009614DA"/>
    <w:rsid w:val="00961597"/>
    <w:rsid w:val="0096169D"/>
    <w:rsid w:val="00961CB7"/>
    <w:rsid w:val="00962560"/>
    <w:rsid w:val="009628F4"/>
    <w:rsid w:val="00962DBC"/>
    <w:rsid w:val="00962FDF"/>
    <w:rsid w:val="00963073"/>
    <w:rsid w:val="00963378"/>
    <w:rsid w:val="009635BE"/>
    <w:rsid w:val="00964508"/>
    <w:rsid w:val="00964690"/>
    <w:rsid w:val="009646B8"/>
    <w:rsid w:val="00964F8C"/>
    <w:rsid w:val="00965144"/>
    <w:rsid w:val="009655D3"/>
    <w:rsid w:val="00965A67"/>
    <w:rsid w:val="00965BB2"/>
    <w:rsid w:val="00965DB1"/>
    <w:rsid w:val="0096666E"/>
    <w:rsid w:val="009668A1"/>
    <w:rsid w:val="009669CC"/>
    <w:rsid w:val="00967334"/>
    <w:rsid w:val="009676B5"/>
    <w:rsid w:val="00967986"/>
    <w:rsid w:val="009679D2"/>
    <w:rsid w:val="00970505"/>
    <w:rsid w:val="00970552"/>
    <w:rsid w:val="0097061F"/>
    <w:rsid w:val="0097066C"/>
    <w:rsid w:val="0097080F"/>
    <w:rsid w:val="00970C98"/>
    <w:rsid w:val="00970CC1"/>
    <w:rsid w:val="009718A5"/>
    <w:rsid w:val="00971957"/>
    <w:rsid w:val="009727A8"/>
    <w:rsid w:val="00972DC0"/>
    <w:rsid w:val="00973CED"/>
    <w:rsid w:val="00974A8D"/>
    <w:rsid w:val="00974F0D"/>
    <w:rsid w:val="00974FF9"/>
    <w:rsid w:val="00975774"/>
    <w:rsid w:val="00975B7F"/>
    <w:rsid w:val="00975BDF"/>
    <w:rsid w:val="00975DFA"/>
    <w:rsid w:val="00975F9D"/>
    <w:rsid w:val="00975FF5"/>
    <w:rsid w:val="00976316"/>
    <w:rsid w:val="0097694E"/>
    <w:rsid w:val="009771EE"/>
    <w:rsid w:val="009773A3"/>
    <w:rsid w:val="009773C6"/>
    <w:rsid w:val="00977729"/>
    <w:rsid w:val="00977C8A"/>
    <w:rsid w:val="00977F2D"/>
    <w:rsid w:val="00980390"/>
    <w:rsid w:val="00980C00"/>
    <w:rsid w:val="009811F9"/>
    <w:rsid w:val="0098146D"/>
    <w:rsid w:val="009817FA"/>
    <w:rsid w:val="009827EC"/>
    <w:rsid w:val="009828D6"/>
    <w:rsid w:val="00982ADF"/>
    <w:rsid w:val="00982EFB"/>
    <w:rsid w:val="00983014"/>
    <w:rsid w:val="009836C9"/>
    <w:rsid w:val="009839F6"/>
    <w:rsid w:val="00984506"/>
    <w:rsid w:val="00984E5D"/>
    <w:rsid w:val="0098501C"/>
    <w:rsid w:val="0098589C"/>
    <w:rsid w:val="00985997"/>
    <w:rsid w:val="00986E64"/>
    <w:rsid w:val="009870EF"/>
    <w:rsid w:val="00987260"/>
    <w:rsid w:val="0098752F"/>
    <w:rsid w:val="00987836"/>
    <w:rsid w:val="009909C3"/>
    <w:rsid w:val="009910CB"/>
    <w:rsid w:val="0099141F"/>
    <w:rsid w:val="009916BE"/>
    <w:rsid w:val="00991871"/>
    <w:rsid w:val="009925D2"/>
    <w:rsid w:val="00992AA9"/>
    <w:rsid w:val="009938B4"/>
    <w:rsid w:val="00993B0B"/>
    <w:rsid w:val="00993B24"/>
    <w:rsid w:val="00993B8B"/>
    <w:rsid w:val="00993C12"/>
    <w:rsid w:val="00994196"/>
    <w:rsid w:val="009944EA"/>
    <w:rsid w:val="00994A02"/>
    <w:rsid w:val="00994FE0"/>
    <w:rsid w:val="009951F6"/>
    <w:rsid w:val="009952CB"/>
    <w:rsid w:val="009954F5"/>
    <w:rsid w:val="00995569"/>
    <w:rsid w:val="00996001"/>
    <w:rsid w:val="00996557"/>
    <w:rsid w:val="009967E6"/>
    <w:rsid w:val="00996E0C"/>
    <w:rsid w:val="00996E4E"/>
    <w:rsid w:val="00996E70"/>
    <w:rsid w:val="009970AF"/>
    <w:rsid w:val="0099714B"/>
    <w:rsid w:val="009972A1"/>
    <w:rsid w:val="009977FA"/>
    <w:rsid w:val="009A0977"/>
    <w:rsid w:val="009A0A12"/>
    <w:rsid w:val="009A1499"/>
    <w:rsid w:val="009A1DC3"/>
    <w:rsid w:val="009A1E2C"/>
    <w:rsid w:val="009A20BB"/>
    <w:rsid w:val="009A240F"/>
    <w:rsid w:val="009A30B7"/>
    <w:rsid w:val="009A3661"/>
    <w:rsid w:val="009A3698"/>
    <w:rsid w:val="009A41F2"/>
    <w:rsid w:val="009A449C"/>
    <w:rsid w:val="009A49F9"/>
    <w:rsid w:val="009A5328"/>
    <w:rsid w:val="009A5CBA"/>
    <w:rsid w:val="009A6E26"/>
    <w:rsid w:val="009A709F"/>
    <w:rsid w:val="009A729E"/>
    <w:rsid w:val="009A742C"/>
    <w:rsid w:val="009B11C3"/>
    <w:rsid w:val="009B1400"/>
    <w:rsid w:val="009B1414"/>
    <w:rsid w:val="009B1D20"/>
    <w:rsid w:val="009B209A"/>
    <w:rsid w:val="009B262D"/>
    <w:rsid w:val="009B28A6"/>
    <w:rsid w:val="009B29BB"/>
    <w:rsid w:val="009B2ADF"/>
    <w:rsid w:val="009B2BF1"/>
    <w:rsid w:val="009B3100"/>
    <w:rsid w:val="009B3E8E"/>
    <w:rsid w:val="009B49B6"/>
    <w:rsid w:val="009B519A"/>
    <w:rsid w:val="009B55CD"/>
    <w:rsid w:val="009B5660"/>
    <w:rsid w:val="009B59BE"/>
    <w:rsid w:val="009B6363"/>
    <w:rsid w:val="009B6B69"/>
    <w:rsid w:val="009B6B7B"/>
    <w:rsid w:val="009B78A0"/>
    <w:rsid w:val="009B7B46"/>
    <w:rsid w:val="009B7C0D"/>
    <w:rsid w:val="009B7FDE"/>
    <w:rsid w:val="009C0140"/>
    <w:rsid w:val="009C0692"/>
    <w:rsid w:val="009C07C7"/>
    <w:rsid w:val="009C099E"/>
    <w:rsid w:val="009C0EA3"/>
    <w:rsid w:val="009C12BB"/>
    <w:rsid w:val="009C1B89"/>
    <w:rsid w:val="009C2766"/>
    <w:rsid w:val="009C285E"/>
    <w:rsid w:val="009C2C86"/>
    <w:rsid w:val="009C34AE"/>
    <w:rsid w:val="009C3821"/>
    <w:rsid w:val="009C3B21"/>
    <w:rsid w:val="009C3D0C"/>
    <w:rsid w:val="009C4E0E"/>
    <w:rsid w:val="009C506A"/>
    <w:rsid w:val="009C58D6"/>
    <w:rsid w:val="009C5924"/>
    <w:rsid w:val="009C612A"/>
    <w:rsid w:val="009C6414"/>
    <w:rsid w:val="009C68CF"/>
    <w:rsid w:val="009C6A28"/>
    <w:rsid w:val="009C6B7D"/>
    <w:rsid w:val="009C7037"/>
    <w:rsid w:val="009C75C9"/>
    <w:rsid w:val="009C7CB9"/>
    <w:rsid w:val="009D0AE4"/>
    <w:rsid w:val="009D10D2"/>
    <w:rsid w:val="009D1BE0"/>
    <w:rsid w:val="009D1D1B"/>
    <w:rsid w:val="009D2F80"/>
    <w:rsid w:val="009D3001"/>
    <w:rsid w:val="009D3737"/>
    <w:rsid w:val="009D38AC"/>
    <w:rsid w:val="009D3C5D"/>
    <w:rsid w:val="009D42C5"/>
    <w:rsid w:val="009D4960"/>
    <w:rsid w:val="009D5008"/>
    <w:rsid w:val="009D5BB2"/>
    <w:rsid w:val="009D5C3C"/>
    <w:rsid w:val="009D5ECA"/>
    <w:rsid w:val="009D677B"/>
    <w:rsid w:val="009D6833"/>
    <w:rsid w:val="009D6E07"/>
    <w:rsid w:val="009D743E"/>
    <w:rsid w:val="009D7AC5"/>
    <w:rsid w:val="009D7B49"/>
    <w:rsid w:val="009D7C84"/>
    <w:rsid w:val="009D7E3F"/>
    <w:rsid w:val="009D7EF0"/>
    <w:rsid w:val="009E02A8"/>
    <w:rsid w:val="009E0C68"/>
    <w:rsid w:val="009E0D1F"/>
    <w:rsid w:val="009E1163"/>
    <w:rsid w:val="009E11E8"/>
    <w:rsid w:val="009E139F"/>
    <w:rsid w:val="009E157E"/>
    <w:rsid w:val="009E16B1"/>
    <w:rsid w:val="009E1A0E"/>
    <w:rsid w:val="009E1B35"/>
    <w:rsid w:val="009E1C35"/>
    <w:rsid w:val="009E1C78"/>
    <w:rsid w:val="009E2684"/>
    <w:rsid w:val="009E2FC2"/>
    <w:rsid w:val="009E3B61"/>
    <w:rsid w:val="009E3CBE"/>
    <w:rsid w:val="009E3DEC"/>
    <w:rsid w:val="009E4191"/>
    <w:rsid w:val="009E41F3"/>
    <w:rsid w:val="009E47F1"/>
    <w:rsid w:val="009E4F5B"/>
    <w:rsid w:val="009E50DF"/>
    <w:rsid w:val="009E522C"/>
    <w:rsid w:val="009E5AE0"/>
    <w:rsid w:val="009E5B12"/>
    <w:rsid w:val="009E79F1"/>
    <w:rsid w:val="009E7B0B"/>
    <w:rsid w:val="009E7B65"/>
    <w:rsid w:val="009E7D0E"/>
    <w:rsid w:val="009F0779"/>
    <w:rsid w:val="009F090C"/>
    <w:rsid w:val="009F0AAA"/>
    <w:rsid w:val="009F104B"/>
    <w:rsid w:val="009F14C2"/>
    <w:rsid w:val="009F1CCF"/>
    <w:rsid w:val="009F1ECC"/>
    <w:rsid w:val="009F22DA"/>
    <w:rsid w:val="009F25EA"/>
    <w:rsid w:val="009F29E3"/>
    <w:rsid w:val="009F2C76"/>
    <w:rsid w:val="009F2F46"/>
    <w:rsid w:val="009F2FB9"/>
    <w:rsid w:val="009F4703"/>
    <w:rsid w:val="009F4A94"/>
    <w:rsid w:val="009F5300"/>
    <w:rsid w:val="009F57C1"/>
    <w:rsid w:val="009F59B6"/>
    <w:rsid w:val="009F5AC9"/>
    <w:rsid w:val="009F5ACF"/>
    <w:rsid w:val="009F6374"/>
    <w:rsid w:val="009F6C93"/>
    <w:rsid w:val="009F72D3"/>
    <w:rsid w:val="009F7D2F"/>
    <w:rsid w:val="009F7FBD"/>
    <w:rsid w:val="00A003BC"/>
    <w:rsid w:val="00A0051B"/>
    <w:rsid w:val="00A00707"/>
    <w:rsid w:val="00A00F4B"/>
    <w:rsid w:val="00A017E5"/>
    <w:rsid w:val="00A022EC"/>
    <w:rsid w:val="00A023F2"/>
    <w:rsid w:val="00A0252F"/>
    <w:rsid w:val="00A02E0B"/>
    <w:rsid w:val="00A02E9E"/>
    <w:rsid w:val="00A030B2"/>
    <w:rsid w:val="00A03163"/>
    <w:rsid w:val="00A03176"/>
    <w:rsid w:val="00A03A3E"/>
    <w:rsid w:val="00A04751"/>
    <w:rsid w:val="00A049B5"/>
    <w:rsid w:val="00A057E7"/>
    <w:rsid w:val="00A0585B"/>
    <w:rsid w:val="00A05A2B"/>
    <w:rsid w:val="00A05A30"/>
    <w:rsid w:val="00A060D3"/>
    <w:rsid w:val="00A0634F"/>
    <w:rsid w:val="00A0640F"/>
    <w:rsid w:val="00A06592"/>
    <w:rsid w:val="00A067B8"/>
    <w:rsid w:val="00A0684D"/>
    <w:rsid w:val="00A06917"/>
    <w:rsid w:val="00A07EB1"/>
    <w:rsid w:val="00A10222"/>
    <w:rsid w:val="00A10C22"/>
    <w:rsid w:val="00A10CDB"/>
    <w:rsid w:val="00A121F3"/>
    <w:rsid w:val="00A13679"/>
    <w:rsid w:val="00A13A7F"/>
    <w:rsid w:val="00A15348"/>
    <w:rsid w:val="00A1599E"/>
    <w:rsid w:val="00A15D99"/>
    <w:rsid w:val="00A160B5"/>
    <w:rsid w:val="00A16378"/>
    <w:rsid w:val="00A178AE"/>
    <w:rsid w:val="00A17A14"/>
    <w:rsid w:val="00A17F78"/>
    <w:rsid w:val="00A2013C"/>
    <w:rsid w:val="00A204E4"/>
    <w:rsid w:val="00A210FA"/>
    <w:rsid w:val="00A216BC"/>
    <w:rsid w:val="00A21F1D"/>
    <w:rsid w:val="00A22798"/>
    <w:rsid w:val="00A23364"/>
    <w:rsid w:val="00A23846"/>
    <w:rsid w:val="00A23B9A"/>
    <w:rsid w:val="00A23BA5"/>
    <w:rsid w:val="00A24081"/>
    <w:rsid w:val="00A24D8D"/>
    <w:rsid w:val="00A24F3D"/>
    <w:rsid w:val="00A25051"/>
    <w:rsid w:val="00A2513A"/>
    <w:rsid w:val="00A2553E"/>
    <w:rsid w:val="00A258F2"/>
    <w:rsid w:val="00A25947"/>
    <w:rsid w:val="00A25D6F"/>
    <w:rsid w:val="00A266E4"/>
    <w:rsid w:val="00A27295"/>
    <w:rsid w:val="00A27370"/>
    <w:rsid w:val="00A274F4"/>
    <w:rsid w:val="00A27AB2"/>
    <w:rsid w:val="00A27C60"/>
    <w:rsid w:val="00A30040"/>
    <w:rsid w:val="00A30A18"/>
    <w:rsid w:val="00A31F9F"/>
    <w:rsid w:val="00A328D9"/>
    <w:rsid w:val="00A32BE3"/>
    <w:rsid w:val="00A32CFC"/>
    <w:rsid w:val="00A32DC9"/>
    <w:rsid w:val="00A3333C"/>
    <w:rsid w:val="00A338E7"/>
    <w:rsid w:val="00A33909"/>
    <w:rsid w:val="00A33920"/>
    <w:rsid w:val="00A33928"/>
    <w:rsid w:val="00A33E08"/>
    <w:rsid w:val="00A34A4D"/>
    <w:rsid w:val="00A34AF6"/>
    <w:rsid w:val="00A34D4A"/>
    <w:rsid w:val="00A35036"/>
    <w:rsid w:val="00A358E6"/>
    <w:rsid w:val="00A35F14"/>
    <w:rsid w:val="00A37090"/>
    <w:rsid w:val="00A40FAA"/>
    <w:rsid w:val="00A41388"/>
    <w:rsid w:val="00A41855"/>
    <w:rsid w:val="00A41992"/>
    <w:rsid w:val="00A4230F"/>
    <w:rsid w:val="00A424A3"/>
    <w:rsid w:val="00A42C4D"/>
    <w:rsid w:val="00A42C6C"/>
    <w:rsid w:val="00A43BC9"/>
    <w:rsid w:val="00A43D42"/>
    <w:rsid w:val="00A4551C"/>
    <w:rsid w:val="00A4569A"/>
    <w:rsid w:val="00A45CC6"/>
    <w:rsid w:val="00A46731"/>
    <w:rsid w:val="00A46FA2"/>
    <w:rsid w:val="00A4723B"/>
    <w:rsid w:val="00A47600"/>
    <w:rsid w:val="00A50ABA"/>
    <w:rsid w:val="00A5147A"/>
    <w:rsid w:val="00A5149D"/>
    <w:rsid w:val="00A5151A"/>
    <w:rsid w:val="00A51566"/>
    <w:rsid w:val="00A515E1"/>
    <w:rsid w:val="00A51AB2"/>
    <w:rsid w:val="00A52073"/>
    <w:rsid w:val="00A52472"/>
    <w:rsid w:val="00A525B7"/>
    <w:rsid w:val="00A53422"/>
    <w:rsid w:val="00A534F2"/>
    <w:rsid w:val="00A537C7"/>
    <w:rsid w:val="00A53994"/>
    <w:rsid w:val="00A53FE6"/>
    <w:rsid w:val="00A5412A"/>
    <w:rsid w:val="00A545A9"/>
    <w:rsid w:val="00A54A22"/>
    <w:rsid w:val="00A5522C"/>
    <w:rsid w:val="00A555A6"/>
    <w:rsid w:val="00A557F2"/>
    <w:rsid w:val="00A5664D"/>
    <w:rsid w:val="00A5687C"/>
    <w:rsid w:val="00A57701"/>
    <w:rsid w:val="00A5797C"/>
    <w:rsid w:val="00A57BD3"/>
    <w:rsid w:val="00A57C62"/>
    <w:rsid w:val="00A60049"/>
    <w:rsid w:val="00A6007A"/>
    <w:rsid w:val="00A60A59"/>
    <w:rsid w:val="00A60DA2"/>
    <w:rsid w:val="00A60F0D"/>
    <w:rsid w:val="00A61D7E"/>
    <w:rsid w:val="00A620C1"/>
    <w:rsid w:val="00A62326"/>
    <w:rsid w:val="00A623C6"/>
    <w:rsid w:val="00A62651"/>
    <w:rsid w:val="00A62B74"/>
    <w:rsid w:val="00A62C5B"/>
    <w:rsid w:val="00A62CF5"/>
    <w:rsid w:val="00A632CF"/>
    <w:rsid w:val="00A63564"/>
    <w:rsid w:val="00A635C2"/>
    <w:rsid w:val="00A63D5F"/>
    <w:rsid w:val="00A644D2"/>
    <w:rsid w:val="00A64598"/>
    <w:rsid w:val="00A64A4B"/>
    <w:rsid w:val="00A657B0"/>
    <w:rsid w:val="00A65CD7"/>
    <w:rsid w:val="00A6637D"/>
    <w:rsid w:val="00A66540"/>
    <w:rsid w:val="00A66C0E"/>
    <w:rsid w:val="00A670CD"/>
    <w:rsid w:val="00A67999"/>
    <w:rsid w:val="00A67CCF"/>
    <w:rsid w:val="00A67E55"/>
    <w:rsid w:val="00A701B6"/>
    <w:rsid w:val="00A70240"/>
    <w:rsid w:val="00A7043F"/>
    <w:rsid w:val="00A70973"/>
    <w:rsid w:val="00A70F63"/>
    <w:rsid w:val="00A718BE"/>
    <w:rsid w:val="00A720C6"/>
    <w:rsid w:val="00A73E63"/>
    <w:rsid w:val="00A73EA6"/>
    <w:rsid w:val="00A73F4F"/>
    <w:rsid w:val="00A74016"/>
    <w:rsid w:val="00A74675"/>
    <w:rsid w:val="00A74828"/>
    <w:rsid w:val="00A74AF1"/>
    <w:rsid w:val="00A75A79"/>
    <w:rsid w:val="00A76376"/>
    <w:rsid w:val="00A778E4"/>
    <w:rsid w:val="00A77B6F"/>
    <w:rsid w:val="00A77ED7"/>
    <w:rsid w:val="00A80011"/>
    <w:rsid w:val="00A8040A"/>
    <w:rsid w:val="00A80740"/>
    <w:rsid w:val="00A80C9B"/>
    <w:rsid w:val="00A80E05"/>
    <w:rsid w:val="00A81559"/>
    <w:rsid w:val="00A815F9"/>
    <w:rsid w:val="00A81E65"/>
    <w:rsid w:val="00A81EE3"/>
    <w:rsid w:val="00A81F72"/>
    <w:rsid w:val="00A83102"/>
    <w:rsid w:val="00A831C3"/>
    <w:rsid w:val="00A83493"/>
    <w:rsid w:val="00A83661"/>
    <w:rsid w:val="00A83807"/>
    <w:rsid w:val="00A83823"/>
    <w:rsid w:val="00A839CF"/>
    <w:rsid w:val="00A83CC6"/>
    <w:rsid w:val="00A84501"/>
    <w:rsid w:val="00A847CE"/>
    <w:rsid w:val="00A85520"/>
    <w:rsid w:val="00A869C4"/>
    <w:rsid w:val="00A87053"/>
    <w:rsid w:val="00A87B43"/>
    <w:rsid w:val="00A87D00"/>
    <w:rsid w:val="00A87F5C"/>
    <w:rsid w:val="00A902DC"/>
    <w:rsid w:val="00A9053B"/>
    <w:rsid w:val="00A9057D"/>
    <w:rsid w:val="00A90BE2"/>
    <w:rsid w:val="00A9129D"/>
    <w:rsid w:val="00A91708"/>
    <w:rsid w:val="00A92075"/>
    <w:rsid w:val="00A92409"/>
    <w:rsid w:val="00A92492"/>
    <w:rsid w:val="00A936AA"/>
    <w:rsid w:val="00A939A9"/>
    <w:rsid w:val="00A93B28"/>
    <w:rsid w:val="00A93BE4"/>
    <w:rsid w:val="00A93DB6"/>
    <w:rsid w:val="00A94632"/>
    <w:rsid w:val="00A956C3"/>
    <w:rsid w:val="00A95838"/>
    <w:rsid w:val="00A95F81"/>
    <w:rsid w:val="00A971C5"/>
    <w:rsid w:val="00A977F8"/>
    <w:rsid w:val="00A978D4"/>
    <w:rsid w:val="00A97AD5"/>
    <w:rsid w:val="00AA0A86"/>
    <w:rsid w:val="00AA0E26"/>
    <w:rsid w:val="00AA124D"/>
    <w:rsid w:val="00AA14DF"/>
    <w:rsid w:val="00AA16E6"/>
    <w:rsid w:val="00AA1E6E"/>
    <w:rsid w:val="00AA23A6"/>
    <w:rsid w:val="00AA279D"/>
    <w:rsid w:val="00AA2F87"/>
    <w:rsid w:val="00AA4006"/>
    <w:rsid w:val="00AA4478"/>
    <w:rsid w:val="00AA44BC"/>
    <w:rsid w:val="00AA4601"/>
    <w:rsid w:val="00AA4D5B"/>
    <w:rsid w:val="00AA55AC"/>
    <w:rsid w:val="00AA752F"/>
    <w:rsid w:val="00AA7E97"/>
    <w:rsid w:val="00AB053D"/>
    <w:rsid w:val="00AB08E6"/>
    <w:rsid w:val="00AB097F"/>
    <w:rsid w:val="00AB0CF5"/>
    <w:rsid w:val="00AB0D72"/>
    <w:rsid w:val="00AB14AE"/>
    <w:rsid w:val="00AB199B"/>
    <w:rsid w:val="00AB1FDE"/>
    <w:rsid w:val="00AB29A5"/>
    <w:rsid w:val="00AB2DA6"/>
    <w:rsid w:val="00AB2E14"/>
    <w:rsid w:val="00AB3086"/>
    <w:rsid w:val="00AB3256"/>
    <w:rsid w:val="00AB3895"/>
    <w:rsid w:val="00AB4445"/>
    <w:rsid w:val="00AB4DD4"/>
    <w:rsid w:val="00AB4ED8"/>
    <w:rsid w:val="00AB5306"/>
    <w:rsid w:val="00AB5460"/>
    <w:rsid w:val="00AB5466"/>
    <w:rsid w:val="00AB5F3B"/>
    <w:rsid w:val="00AB6DB6"/>
    <w:rsid w:val="00AB7A80"/>
    <w:rsid w:val="00AB7FDD"/>
    <w:rsid w:val="00AC03D7"/>
    <w:rsid w:val="00AC0D7B"/>
    <w:rsid w:val="00AC1986"/>
    <w:rsid w:val="00AC1A23"/>
    <w:rsid w:val="00AC1E1D"/>
    <w:rsid w:val="00AC2BBE"/>
    <w:rsid w:val="00AC3040"/>
    <w:rsid w:val="00AC3268"/>
    <w:rsid w:val="00AC38ED"/>
    <w:rsid w:val="00AC3C4A"/>
    <w:rsid w:val="00AC3D46"/>
    <w:rsid w:val="00AC4D04"/>
    <w:rsid w:val="00AC524C"/>
    <w:rsid w:val="00AC52CC"/>
    <w:rsid w:val="00AC5572"/>
    <w:rsid w:val="00AC5844"/>
    <w:rsid w:val="00AC5C65"/>
    <w:rsid w:val="00AC6291"/>
    <w:rsid w:val="00AC6321"/>
    <w:rsid w:val="00AC6652"/>
    <w:rsid w:val="00AC68FD"/>
    <w:rsid w:val="00AC6D9F"/>
    <w:rsid w:val="00AC7DAF"/>
    <w:rsid w:val="00AC7E2F"/>
    <w:rsid w:val="00AD0282"/>
    <w:rsid w:val="00AD0535"/>
    <w:rsid w:val="00AD05F7"/>
    <w:rsid w:val="00AD06C7"/>
    <w:rsid w:val="00AD162B"/>
    <w:rsid w:val="00AD1A5A"/>
    <w:rsid w:val="00AD22C3"/>
    <w:rsid w:val="00AD3E32"/>
    <w:rsid w:val="00AD3EF8"/>
    <w:rsid w:val="00AD42AF"/>
    <w:rsid w:val="00AD463C"/>
    <w:rsid w:val="00AD4A2C"/>
    <w:rsid w:val="00AD5174"/>
    <w:rsid w:val="00AD568E"/>
    <w:rsid w:val="00AD622A"/>
    <w:rsid w:val="00AD6D6B"/>
    <w:rsid w:val="00AD764F"/>
    <w:rsid w:val="00AD7977"/>
    <w:rsid w:val="00AD7BDA"/>
    <w:rsid w:val="00AD7D62"/>
    <w:rsid w:val="00AD7D75"/>
    <w:rsid w:val="00AE0972"/>
    <w:rsid w:val="00AE0EF8"/>
    <w:rsid w:val="00AE0F30"/>
    <w:rsid w:val="00AE0F64"/>
    <w:rsid w:val="00AE13F5"/>
    <w:rsid w:val="00AE1812"/>
    <w:rsid w:val="00AE182F"/>
    <w:rsid w:val="00AE1A7F"/>
    <w:rsid w:val="00AE1C66"/>
    <w:rsid w:val="00AE1C70"/>
    <w:rsid w:val="00AE1DD3"/>
    <w:rsid w:val="00AE1F7F"/>
    <w:rsid w:val="00AE1FE4"/>
    <w:rsid w:val="00AE2069"/>
    <w:rsid w:val="00AE2418"/>
    <w:rsid w:val="00AE2B14"/>
    <w:rsid w:val="00AE2E6D"/>
    <w:rsid w:val="00AE2E8B"/>
    <w:rsid w:val="00AE465E"/>
    <w:rsid w:val="00AE4DDF"/>
    <w:rsid w:val="00AE51CB"/>
    <w:rsid w:val="00AE60D3"/>
    <w:rsid w:val="00AE61DB"/>
    <w:rsid w:val="00AE6445"/>
    <w:rsid w:val="00AE66EE"/>
    <w:rsid w:val="00AE6CAA"/>
    <w:rsid w:val="00AE6E53"/>
    <w:rsid w:val="00AE73C0"/>
    <w:rsid w:val="00AE77AC"/>
    <w:rsid w:val="00AE7D8F"/>
    <w:rsid w:val="00AE7EE1"/>
    <w:rsid w:val="00AF107A"/>
    <w:rsid w:val="00AF134D"/>
    <w:rsid w:val="00AF16FB"/>
    <w:rsid w:val="00AF197A"/>
    <w:rsid w:val="00AF1DB1"/>
    <w:rsid w:val="00AF21F0"/>
    <w:rsid w:val="00AF2667"/>
    <w:rsid w:val="00AF28C6"/>
    <w:rsid w:val="00AF2C31"/>
    <w:rsid w:val="00AF2E52"/>
    <w:rsid w:val="00AF3449"/>
    <w:rsid w:val="00AF3C7C"/>
    <w:rsid w:val="00AF3C7F"/>
    <w:rsid w:val="00AF4547"/>
    <w:rsid w:val="00AF4CEC"/>
    <w:rsid w:val="00AF4F36"/>
    <w:rsid w:val="00AF5206"/>
    <w:rsid w:val="00AF54E6"/>
    <w:rsid w:val="00AF58AF"/>
    <w:rsid w:val="00AF5C01"/>
    <w:rsid w:val="00AF5FCF"/>
    <w:rsid w:val="00AF6054"/>
    <w:rsid w:val="00AF6BAC"/>
    <w:rsid w:val="00AF6E13"/>
    <w:rsid w:val="00AF6E7C"/>
    <w:rsid w:val="00AF6FBE"/>
    <w:rsid w:val="00AF76DD"/>
    <w:rsid w:val="00AF7DB3"/>
    <w:rsid w:val="00B0061A"/>
    <w:rsid w:val="00B00A87"/>
    <w:rsid w:val="00B00B79"/>
    <w:rsid w:val="00B01922"/>
    <w:rsid w:val="00B01963"/>
    <w:rsid w:val="00B01CF2"/>
    <w:rsid w:val="00B026BB"/>
    <w:rsid w:val="00B02B6E"/>
    <w:rsid w:val="00B02C60"/>
    <w:rsid w:val="00B0301F"/>
    <w:rsid w:val="00B03620"/>
    <w:rsid w:val="00B03E7A"/>
    <w:rsid w:val="00B0454B"/>
    <w:rsid w:val="00B04748"/>
    <w:rsid w:val="00B04AF4"/>
    <w:rsid w:val="00B04EBA"/>
    <w:rsid w:val="00B04F5D"/>
    <w:rsid w:val="00B05286"/>
    <w:rsid w:val="00B056FE"/>
    <w:rsid w:val="00B063FC"/>
    <w:rsid w:val="00B06768"/>
    <w:rsid w:val="00B06986"/>
    <w:rsid w:val="00B06F23"/>
    <w:rsid w:val="00B0787A"/>
    <w:rsid w:val="00B07BFF"/>
    <w:rsid w:val="00B07C31"/>
    <w:rsid w:val="00B07C41"/>
    <w:rsid w:val="00B10027"/>
    <w:rsid w:val="00B103D9"/>
    <w:rsid w:val="00B10CF2"/>
    <w:rsid w:val="00B1122C"/>
    <w:rsid w:val="00B11667"/>
    <w:rsid w:val="00B11668"/>
    <w:rsid w:val="00B11A3F"/>
    <w:rsid w:val="00B11AB6"/>
    <w:rsid w:val="00B11B2F"/>
    <w:rsid w:val="00B12407"/>
    <w:rsid w:val="00B12528"/>
    <w:rsid w:val="00B12B2F"/>
    <w:rsid w:val="00B12C8E"/>
    <w:rsid w:val="00B12D96"/>
    <w:rsid w:val="00B12DB7"/>
    <w:rsid w:val="00B1356E"/>
    <w:rsid w:val="00B1374D"/>
    <w:rsid w:val="00B13BEC"/>
    <w:rsid w:val="00B13D9D"/>
    <w:rsid w:val="00B14AC1"/>
    <w:rsid w:val="00B14C47"/>
    <w:rsid w:val="00B14D81"/>
    <w:rsid w:val="00B15D68"/>
    <w:rsid w:val="00B161B8"/>
    <w:rsid w:val="00B161E8"/>
    <w:rsid w:val="00B174D0"/>
    <w:rsid w:val="00B1757D"/>
    <w:rsid w:val="00B17861"/>
    <w:rsid w:val="00B17AF0"/>
    <w:rsid w:val="00B17F82"/>
    <w:rsid w:val="00B2032A"/>
    <w:rsid w:val="00B20539"/>
    <w:rsid w:val="00B20604"/>
    <w:rsid w:val="00B209C6"/>
    <w:rsid w:val="00B20AC9"/>
    <w:rsid w:val="00B20B2F"/>
    <w:rsid w:val="00B20E92"/>
    <w:rsid w:val="00B212B6"/>
    <w:rsid w:val="00B21351"/>
    <w:rsid w:val="00B2163F"/>
    <w:rsid w:val="00B21864"/>
    <w:rsid w:val="00B2225E"/>
    <w:rsid w:val="00B225BA"/>
    <w:rsid w:val="00B22630"/>
    <w:rsid w:val="00B22A9C"/>
    <w:rsid w:val="00B22D94"/>
    <w:rsid w:val="00B22E51"/>
    <w:rsid w:val="00B230D0"/>
    <w:rsid w:val="00B238E9"/>
    <w:rsid w:val="00B239C4"/>
    <w:rsid w:val="00B24316"/>
    <w:rsid w:val="00B25178"/>
    <w:rsid w:val="00B25710"/>
    <w:rsid w:val="00B25D63"/>
    <w:rsid w:val="00B2620A"/>
    <w:rsid w:val="00B264B4"/>
    <w:rsid w:val="00B308A1"/>
    <w:rsid w:val="00B308E0"/>
    <w:rsid w:val="00B30976"/>
    <w:rsid w:val="00B30B28"/>
    <w:rsid w:val="00B311CA"/>
    <w:rsid w:val="00B3148B"/>
    <w:rsid w:val="00B316AC"/>
    <w:rsid w:val="00B316EF"/>
    <w:rsid w:val="00B3230D"/>
    <w:rsid w:val="00B333C6"/>
    <w:rsid w:val="00B33C29"/>
    <w:rsid w:val="00B33DCE"/>
    <w:rsid w:val="00B33DF9"/>
    <w:rsid w:val="00B3417C"/>
    <w:rsid w:val="00B3423A"/>
    <w:rsid w:val="00B3426C"/>
    <w:rsid w:val="00B34432"/>
    <w:rsid w:val="00B352E7"/>
    <w:rsid w:val="00B3542A"/>
    <w:rsid w:val="00B35757"/>
    <w:rsid w:val="00B35A25"/>
    <w:rsid w:val="00B360EC"/>
    <w:rsid w:val="00B3639D"/>
    <w:rsid w:val="00B36436"/>
    <w:rsid w:val="00B36A07"/>
    <w:rsid w:val="00B36D1F"/>
    <w:rsid w:val="00B36F59"/>
    <w:rsid w:val="00B3710C"/>
    <w:rsid w:val="00B37360"/>
    <w:rsid w:val="00B373C4"/>
    <w:rsid w:val="00B37CB0"/>
    <w:rsid w:val="00B40549"/>
    <w:rsid w:val="00B40612"/>
    <w:rsid w:val="00B40BEA"/>
    <w:rsid w:val="00B40D6E"/>
    <w:rsid w:val="00B40D7B"/>
    <w:rsid w:val="00B4107B"/>
    <w:rsid w:val="00B412B5"/>
    <w:rsid w:val="00B41C2C"/>
    <w:rsid w:val="00B421CA"/>
    <w:rsid w:val="00B423CE"/>
    <w:rsid w:val="00B42A69"/>
    <w:rsid w:val="00B430EA"/>
    <w:rsid w:val="00B434BF"/>
    <w:rsid w:val="00B44B09"/>
    <w:rsid w:val="00B45633"/>
    <w:rsid w:val="00B45856"/>
    <w:rsid w:val="00B46144"/>
    <w:rsid w:val="00B46736"/>
    <w:rsid w:val="00B47115"/>
    <w:rsid w:val="00B471E2"/>
    <w:rsid w:val="00B47801"/>
    <w:rsid w:val="00B50215"/>
    <w:rsid w:val="00B50775"/>
    <w:rsid w:val="00B50D2E"/>
    <w:rsid w:val="00B50E79"/>
    <w:rsid w:val="00B522E3"/>
    <w:rsid w:val="00B5256F"/>
    <w:rsid w:val="00B52907"/>
    <w:rsid w:val="00B52D21"/>
    <w:rsid w:val="00B53000"/>
    <w:rsid w:val="00B532B1"/>
    <w:rsid w:val="00B53B5C"/>
    <w:rsid w:val="00B53FB9"/>
    <w:rsid w:val="00B541A6"/>
    <w:rsid w:val="00B55119"/>
    <w:rsid w:val="00B55D84"/>
    <w:rsid w:val="00B55DBB"/>
    <w:rsid w:val="00B5611F"/>
    <w:rsid w:val="00B56EB3"/>
    <w:rsid w:val="00B56F2E"/>
    <w:rsid w:val="00B57368"/>
    <w:rsid w:val="00B57A57"/>
    <w:rsid w:val="00B57D27"/>
    <w:rsid w:val="00B57D97"/>
    <w:rsid w:val="00B6026D"/>
    <w:rsid w:val="00B60EC1"/>
    <w:rsid w:val="00B60EC9"/>
    <w:rsid w:val="00B62380"/>
    <w:rsid w:val="00B625D3"/>
    <w:rsid w:val="00B6285D"/>
    <w:rsid w:val="00B629A4"/>
    <w:rsid w:val="00B62C2F"/>
    <w:rsid w:val="00B63098"/>
    <w:rsid w:val="00B635C8"/>
    <w:rsid w:val="00B63BAB"/>
    <w:rsid w:val="00B63DE2"/>
    <w:rsid w:val="00B63E3E"/>
    <w:rsid w:val="00B642E8"/>
    <w:rsid w:val="00B64683"/>
    <w:rsid w:val="00B64EC8"/>
    <w:rsid w:val="00B6500D"/>
    <w:rsid w:val="00B652CA"/>
    <w:rsid w:val="00B65322"/>
    <w:rsid w:val="00B65676"/>
    <w:rsid w:val="00B65C62"/>
    <w:rsid w:val="00B662D8"/>
    <w:rsid w:val="00B6636B"/>
    <w:rsid w:val="00B66584"/>
    <w:rsid w:val="00B6696A"/>
    <w:rsid w:val="00B66F94"/>
    <w:rsid w:val="00B670BA"/>
    <w:rsid w:val="00B67AF8"/>
    <w:rsid w:val="00B70475"/>
    <w:rsid w:val="00B70604"/>
    <w:rsid w:val="00B70DA0"/>
    <w:rsid w:val="00B71260"/>
    <w:rsid w:val="00B71747"/>
    <w:rsid w:val="00B71AF6"/>
    <w:rsid w:val="00B72267"/>
    <w:rsid w:val="00B7228B"/>
    <w:rsid w:val="00B725A5"/>
    <w:rsid w:val="00B72EA1"/>
    <w:rsid w:val="00B72F34"/>
    <w:rsid w:val="00B73610"/>
    <w:rsid w:val="00B73BA1"/>
    <w:rsid w:val="00B73EF2"/>
    <w:rsid w:val="00B73F43"/>
    <w:rsid w:val="00B74027"/>
    <w:rsid w:val="00B7463B"/>
    <w:rsid w:val="00B74920"/>
    <w:rsid w:val="00B74A1A"/>
    <w:rsid w:val="00B74B78"/>
    <w:rsid w:val="00B75360"/>
    <w:rsid w:val="00B757FA"/>
    <w:rsid w:val="00B75BED"/>
    <w:rsid w:val="00B76164"/>
    <w:rsid w:val="00B76ED9"/>
    <w:rsid w:val="00B76F74"/>
    <w:rsid w:val="00B77001"/>
    <w:rsid w:val="00B77853"/>
    <w:rsid w:val="00B80332"/>
    <w:rsid w:val="00B81187"/>
    <w:rsid w:val="00B81749"/>
    <w:rsid w:val="00B820B3"/>
    <w:rsid w:val="00B823E1"/>
    <w:rsid w:val="00B82F6F"/>
    <w:rsid w:val="00B83733"/>
    <w:rsid w:val="00B83A30"/>
    <w:rsid w:val="00B83ACE"/>
    <w:rsid w:val="00B83F71"/>
    <w:rsid w:val="00B83FF6"/>
    <w:rsid w:val="00B83FFE"/>
    <w:rsid w:val="00B84A91"/>
    <w:rsid w:val="00B854F3"/>
    <w:rsid w:val="00B85D0C"/>
    <w:rsid w:val="00B860B8"/>
    <w:rsid w:val="00B8686E"/>
    <w:rsid w:val="00B868F1"/>
    <w:rsid w:val="00B86AD1"/>
    <w:rsid w:val="00B86C80"/>
    <w:rsid w:val="00B87228"/>
    <w:rsid w:val="00B8728E"/>
    <w:rsid w:val="00B87765"/>
    <w:rsid w:val="00B87845"/>
    <w:rsid w:val="00B901AD"/>
    <w:rsid w:val="00B90D4D"/>
    <w:rsid w:val="00B90DF6"/>
    <w:rsid w:val="00B91478"/>
    <w:rsid w:val="00B92142"/>
    <w:rsid w:val="00B921E0"/>
    <w:rsid w:val="00B92534"/>
    <w:rsid w:val="00B927A6"/>
    <w:rsid w:val="00B92BB7"/>
    <w:rsid w:val="00B9372C"/>
    <w:rsid w:val="00B94322"/>
    <w:rsid w:val="00B948A9"/>
    <w:rsid w:val="00B9510B"/>
    <w:rsid w:val="00B9531C"/>
    <w:rsid w:val="00B955B8"/>
    <w:rsid w:val="00B955FC"/>
    <w:rsid w:val="00B95646"/>
    <w:rsid w:val="00B96121"/>
    <w:rsid w:val="00B96AE6"/>
    <w:rsid w:val="00B96C04"/>
    <w:rsid w:val="00B97172"/>
    <w:rsid w:val="00B9757F"/>
    <w:rsid w:val="00B97823"/>
    <w:rsid w:val="00B97952"/>
    <w:rsid w:val="00BA13E1"/>
    <w:rsid w:val="00BA1C7E"/>
    <w:rsid w:val="00BA1D12"/>
    <w:rsid w:val="00BA1FC3"/>
    <w:rsid w:val="00BA20D8"/>
    <w:rsid w:val="00BA2DDF"/>
    <w:rsid w:val="00BA327A"/>
    <w:rsid w:val="00BA3356"/>
    <w:rsid w:val="00BA3435"/>
    <w:rsid w:val="00BA3EF0"/>
    <w:rsid w:val="00BA3FE5"/>
    <w:rsid w:val="00BA4128"/>
    <w:rsid w:val="00BA42AF"/>
    <w:rsid w:val="00BA51B1"/>
    <w:rsid w:val="00BA5233"/>
    <w:rsid w:val="00BA5A6E"/>
    <w:rsid w:val="00BA5C3B"/>
    <w:rsid w:val="00BA5DCC"/>
    <w:rsid w:val="00BA619A"/>
    <w:rsid w:val="00BA6399"/>
    <w:rsid w:val="00BA695A"/>
    <w:rsid w:val="00BA6F0A"/>
    <w:rsid w:val="00BA7A0F"/>
    <w:rsid w:val="00BA7BA7"/>
    <w:rsid w:val="00BA7FC5"/>
    <w:rsid w:val="00BB060C"/>
    <w:rsid w:val="00BB0805"/>
    <w:rsid w:val="00BB14FB"/>
    <w:rsid w:val="00BB1A3E"/>
    <w:rsid w:val="00BB1B4A"/>
    <w:rsid w:val="00BB1C58"/>
    <w:rsid w:val="00BB2096"/>
    <w:rsid w:val="00BB2DE5"/>
    <w:rsid w:val="00BB328C"/>
    <w:rsid w:val="00BB38E9"/>
    <w:rsid w:val="00BB3E4C"/>
    <w:rsid w:val="00BB42C2"/>
    <w:rsid w:val="00BB4FF9"/>
    <w:rsid w:val="00BB51FD"/>
    <w:rsid w:val="00BB54DF"/>
    <w:rsid w:val="00BB56C8"/>
    <w:rsid w:val="00BB57D7"/>
    <w:rsid w:val="00BB58C3"/>
    <w:rsid w:val="00BB5936"/>
    <w:rsid w:val="00BB5E98"/>
    <w:rsid w:val="00BB7043"/>
    <w:rsid w:val="00BB7316"/>
    <w:rsid w:val="00BB7517"/>
    <w:rsid w:val="00BB774C"/>
    <w:rsid w:val="00BB7ABD"/>
    <w:rsid w:val="00BB7B6D"/>
    <w:rsid w:val="00BB7D09"/>
    <w:rsid w:val="00BB7E7D"/>
    <w:rsid w:val="00BB7F5F"/>
    <w:rsid w:val="00BC0B02"/>
    <w:rsid w:val="00BC0ED1"/>
    <w:rsid w:val="00BC1177"/>
    <w:rsid w:val="00BC192C"/>
    <w:rsid w:val="00BC23A9"/>
    <w:rsid w:val="00BC2456"/>
    <w:rsid w:val="00BC251F"/>
    <w:rsid w:val="00BC2CA6"/>
    <w:rsid w:val="00BC3584"/>
    <w:rsid w:val="00BC3A8A"/>
    <w:rsid w:val="00BC3ACF"/>
    <w:rsid w:val="00BC4ABD"/>
    <w:rsid w:val="00BC4C6B"/>
    <w:rsid w:val="00BC51B5"/>
    <w:rsid w:val="00BC5341"/>
    <w:rsid w:val="00BC5496"/>
    <w:rsid w:val="00BC5764"/>
    <w:rsid w:val="00BC5B45"/>
    <w:rsid w:val="00BC5E3E"/>
    <w:rsid w:val="00BC61B8"/>
    <w:rsid w:val="00BC6295"/>
    <w:rsid w:val="00BC6AC9"/>
    <w:rsid w:val="00BC70A3"/>
    <w:rsid w:val="00BC7185"/>
    <w:rsid w:val="00BC7291"/>
    <w:rsid w:val="00BC765F"/>
    <w:rsid w:val="00BC7A85"/>
    <w:rsid w:val="00BD07E1"/>
    <w:rsid w:val="00BD0EFC"/>
    <w:rsid w:val="00BD0F7B"/>
    <w:rsid w:val="00BD16A2"/>
    <w:rsid w:val="00BD1C6A"/>
    <w:rsid w:val="00BD24FE"/>
    <w:rsid w:val="00BD26E8"/>
    <w:rsid w:val="00BD27EB"/>
    <w:rsid w:val="00BD2E70"/>
    <w:rsid w:val="00BD305C"/>
    <w:rsid w:val="00BD3373"/>
    <w:rsid w:val="00BD34A6"/>
    <w:rsid w:val="00BD3650"/>
    <w:rsid w:val="00BD4002"/>
    <w:rsid w:val="00BD40E3"/>
    <w:rsid w:val="00BD4AF1"/>
    <w:rsid w:val="00BD4D22"/>
    <w:rsid w:val="00BD5326"/>
    <w:rsid w:val="00BD541A"/>
    <w:rsid w:val="00BD55C0"/>
    <w:rsid w:val="00BD56F7"/>
    <w:rsid w:val="00BD5A28"/>
    <w:rsid w:val="00BD5D53"/>
    <w:rsid w:val="00BD6771"/>
    <w:rsid w:val="00BD6B33"/>
    <w:rsid w:val="00BD7561"/>
    <w:rsid w:val="00BD7798"/>
    <w:rsid w:val="00BD7A3E"/>
    <w:rsid w:val="00BD7DA4"/>
    <w:rsid w:val="00BE069E"/>
    <w:rsid w:val="00BE0F0E"/>
    <w:rsid w:val="00BE1117"/>
    <w:rsid w:val="00BE118A"/>
    <w:rsid w:val="00BE17E9"/>
    <w:rsid w:val="00BE19B3"/>
    <w:rsid w:val="00BE1D47"/>
    <w:rsid w:val="00BE23C9"/>
    <w:rsid w:val="00BE23CD"/>
    <w:rsid w:val="00BE2658"/>
    <w:rsid w:val="00BE30F0"/>
    <w:rsid w:val="00BE30F7"/>
    <w:rsid w:val="00BE3393"/>
    <w:rsid w:val="00BE3F7B"/>
    <w:rsid w:val="00BE4578"/>
    <w:rsid w:val="00BE4A6C"/>
    <w:rsid w:val="00BE4BC2"/>
    <w:rsid w:val="00BE4D1D"/>
    <w:rsid w:val="00BE4EC4"/>
    <w:rsid w:val="00BE5193"/>
    <w:rsid w:val="00BE5C20"/>
    <w:rsid w:val="00BE5DD7"/>
    <w:rsid w:val="00BE645F"/>
    <w:rsid w:val="00BE66B5"/>
    <w:rsid w:val="00BE7235"/>
    <w:rsid w:val="00BE7B92"/>
    <w:rsid w:val="00BF0DF0"/>
    <w:rsid w:val="00BF14A5"/>
    <w:rsid w:val="00BF1B19"/>
    <w:rsid w:val="00BF1C33"/>
    <w:rsid w:val="00BF1EA5"/>
    <w:rsid w:val="00BF204C"/>
    <w:rsid w:val="00BF22AA"/>
    <w:rsid w:val="00BF26AF"/>
    <w:rsid w:val="00BF2822"/>
    <w:rsid w:val="00BF2F71"/>
    <w:rsid w:val="00BF382A"/>
    <w:rsid w:val="00BF3D28"/>
    <w:rsid w:val="00BF3D4A"/>
    <w:rsid w:val="00BF49CE"/>
    <w:rsid w:val="00BF49EE"/>
    <w:rsid w:val="00BF4D38"/>
    <w:rsid w:val="00BF50E7"/>
    <w:rsid w:val="00BF558E"/>
    <w:rsid w:val="00BF5BF6"/>
    <w:rsid w:val="00BF6133"/>
    <w:rsid w:val="00BF632C"/>
    <w:rsid w:val="00BF6918"/>
    <w:rsid w:val="00BF6A36"/>
    <w:rsid w:val="00BF6D22"/>
    <w:rsid w:val="00BF6D4C"/>
    <w:rsid w:val="00BF6DC5"/>
    <w:rsid w:val="00BF6F41"/>
    <w:rsid w:val="00BF71D8"/>
    <w:rsid w:val="00BF7596"/>
    <w:rsid w:val="00BF787A"/>
    <w:rsid w:val="00BF787D"/>
    <w:rsid w:val="00BF7A61"/>
    <w:rsid w:val="00BF7C8B"/>
    <w:rsid w:val="00C0039B"/>
    <w:rsid w:val="00C00439"/>
    <w:rsid w:val="00C00517"/>
    <w:rsid w:val="00C006A2"/>
    <w:rsid w:val="00C00C39"/>
    <w:rsid w:val="00C01A0C"/>
    <w:rsid w:val="00C022CF"/>
    <w:rsid w:val="00C02973"/>
    <w:rsid w:val="00C02B1D"/>
    <w:rsid w:val="00C02BE0"/>
    <w:rsid w:val="00C0352A"/>
    <w:rsid w:val="00C03C62"/>
    <w:rsid w:val="00C03D46"/>
    <w:rsid w:val="00C03DF3"/>
    <w:rsid w:val="00C041D1"/>
    <w:rsid w:val="00C0492A"/>
    <w:rsid w:val="00C049AB"/>
    <w:rsid w:val="00C04B5B"/>
    <w:rsid w:val="00C04F1A"/>
    <w:rsid w:val="00C05107"/>
    <w:rsid w:val="00C05864"/>
    <w:rsid w:val="00C05B22"/>
    <w:rsid w:val="00C05B97"/>
    <w:rsid w:val="00C05B9B"/>
    <w:rsid w:val="00C05C1B"/>
    <w:rsid w:val="00C05C1D"/>
    <w:rsid w:val="00C05E29"/>
    <w:rsid w:val="00C05FF1"/>
    <w:rsid w:val="00C068F8"/>
    <w:rsid w:val="00C06B51"/>
    <w:rsid w:val="00C076C6"/>
    <w:rsid w:val="00C07A16"/>
    <w:rsid w:val="00C07F12"/>
    <w:rsid w:val="00C101EF"/>
    <w:rsid w:val="00C1096E"/>
    <w:rsid w:val="00C10F5A"/>
    <w:rsid w:val="00C11000"/>
    <w:rsid w:val="00C115B3"/>
    <w:rsid w:val="00C117F4"/>
    <w:rsid w:val="00C1223F"/>
    <w:rsid w:val="00C122E0"/>
    <w:rsid w:val="00C1279E"/>
    <w:rsid w:val="00C128C6"/>
    <w:rsid w:val="00C12A2C"/>
    <w:rsid w:val="00C12A3E"/>
    <w:rsid w:val="00C1367F"/>
    <w:rsid w:val="00C138FE"/>
    <w:rsid w:val="00C139FD"/>
    <w:rsid w:val="00C13D26"/>
    <w:rsid w:val="00C142BE"/>
    <w:rsid w:val="00C14410"/>
    <w:rsid w:val="00C14AA8"/>
    <w:rsid w:val="00C157D2"/>
    <w:rsid w:val="00C159F6"/>
    <w:rsid w:val="00C15D46"/>
    <w:rsid w:val="00C15E3C"/>
    <w:rsid w:val="00C16210"/>
    <w:rsid w:val="00C16318"/>
    <w:rsid w:val="00C16603"/>
    <w:rsid w:val="00C17262"/>
    <w:rsid w:val="00C173DE"/>
    <w:rsid w:val="00C17DBB"/>
    <w:rsid w:val="00C20102"/>
    <w:rsid w:val="00C20293"/>
    <w:rsid w:val="00C20631"/>
    <w:rsid w:val="00C2079C"/>
    <w:rsid w:val="00C2089B"/>
    <w:rsid w:val="00C20AB2"/>
    <w:rsid w:val="00C20AC8"/>
    <w:rsid w:val="00C21958"/>
    <w:rsid w:val="00C21C73"/>
    <w:rsid w:val="00C21DDA"/>
    <w:rsid w:val="00C2218D"/>
    <w:rsid w:val="00C231F2"/>
    <w:rsid w:val="00C2333E"/>
    <w:rsid w:val="00C233C7"/>
    <w:rsid w:val="00C23764"/>
    <w:rsid w:val="00C2388B"/>
    <w:rsid w:val="00C23983"/>
    <w:rsid w:val="00C23AFA"/>
    <w:rsid w:val="00C24205"/>
    <w:rsid w:val="00C242EB"/>
    <w:rsid w:val="00C24631"/>
    <w:rsid w:val="00C24779"/>
    <w:rsid w:val="00C247EC"/>
    <w:rsid w:val="00C25502"/>
    <w:rsid w:val="00C257FA"/>
    <w:rsid w:val="00C25839"/>
    <w:rsid w:val="00C269E0"/>
    <w:rsid w:val="00C27125"/>
    <w:rsid w:val="00C27666"/>
    <w:rsid w:val="00C277DE"/>
    <w:rsid w:val="00C27810"/>
    <w:rsid w:val="00C27CAE"/>
    <w:rsid w:val="00C300CD"/>
    <w:rsid w:val="00C3016C"/>
    <w:rsid w:val="00C3032A"/>
    <w:rsid w:val="00C30543"/>
    <w:rsid w:val="00C3066D"/>
    <w:rsid w:val="00C30A5F"/>
    <w:rsid w:val="00C30A6A"/>
    <w:rsid w:val="00C31021"/>
    <w:rsid w:val="00C312A7"/>
    <w:rsid w:val="00C3241E"/>
    <w:rsid w:val="00C32650"/>
    <w:rsid w:val="00C328C1"/>
    <w:rsid w:val="00C32DE3"/>
    <w:rsid w:val="00C32E94"/>
    <w:rsid w:val="00C33106"/>
    <w:rsid w:val="00C33114"/>
    <w:rsid w:val="00C33479"/>
    <w:rsid w:val="00C3379E"/>
    <w:rsid w:val="00C33A61"/>
    <w:rsid w:val="00C34093"/>
    <w:rsid w:val="00C34614"/>
    <w:rsid w:val="00C34A00"/>
    <w:rsid w:val="00C34B34"/>
    <w:rsid w:val="00C3534F"/>
    <w:rsid w:val="00C354D6"/>
    <w:rsid w:val="00C35630"/>
    <w:rsid w:val="00C35688"/>
    <w:rsid w:val="00C35732"/>
    <w:rsid w:val="00C35739"/>
    <w:rsid w:val="00C360F0"/>
    <w:rsid w:val="00C36A19"/>
    <w:rsid w:val="00C36A1B"/>
    <w:rsid w:val="00C36A54"/>
    <w:rsid w:val="00C36D70"/>
    <w:rsid w:val="00C40169"/>
    <w:rsid w:val="00C40285"/>
    <w:rsid w:val="00C40B72"/>
    <w:rsid w:val="00C40CCD"/>
    <w:rsid w:val="00C4161F"/>
    <w:rsid w:val="00C41AD6"/>
    <w:rsid w:val="00C42103"/>
    <w:rsid w:val="00C428E4"/>
    <w:rsid w:val="00C43018"/>
    <w:rsid w:val="00C43107"/>
    <w:rsid w:val="00C4322D"/>
    <w:rsid w:val="00C4326B"/>
    <w:rsid w:val="00C436AB"/>
    <w:rsid w:val="00C43DAB"/>
    <w:rsid w:val="00C44284"/>
    <w:rsid w:val="00C4499D"/>
    <w:rsid w:val="00C44A4A"/>
    <w:rsid w:val="00C44B75"/>
    <w:rsid w:val="00C44F1A"/>
    <w:rsid w:val="00C450A5"/>
    <w:rsid w:val="00C450E5"/>
    <w:rsid w:val="00C459B7"/>
    <w:rsid w:val="00C45CA4"/>
    <w:rsid w:val="00C46142"/>
    <w:rsid w:val="00C46ABE"/>
    <w:rsid w:val="00C47029"/>
    <w:rsid w:val="00C47A64"/>
    <w:rsid w:val="00C47C7D"/>
    <w:rsid w:val="00C47D87"/>
    <w:rsid w:val="00C47E0A"/>
    <w:rsid w:val="00C47EEC"/>
    <w:rsid w:val="00C5004B"/>
    <w:rsid w:val="00C509BC"/>
    <w:rsid w:val="00C50D51"/>
    <w:rsid w:val="00C51651"/>
    <w:rsid w:val="00C5203F"/>
    <w:rsid w:val="00C52972"/>
    <w:rsid w:val="00C52E41"/>
    <w:rsid w:val="00C52EA8"/>
    <w:rsid w:val="00C53156"/>
    <w:rsid w:val="00C531F3"/>
    <w:rsid w:val="00C5376B"/>
    <w:rsid w:val="00C54093"/>
    <w:rsid w:val="00C54358"/>
    <w:rsid w:val="00C5493E"/>
    <w:rsid w:val="00C54CB3"/>
    <w:rsid w:val="00C5670A"/>
    <w:rsid w:val="00C568C0"/>
    <w:rsid w:val="00C568C2"/>
    <w:rsid w:val="00C569B2"/>
    <w:rsid w:val="00C57FD1"/>
    <w:rsid w:val="00C603BF"/>
    <w:rsid w:val="00C60949"/>
    <w:rsid w:val="00C609A6"/>
    <w:rsid w:val="00C60C42"/>
    <w:rsid w:val="00C611DC"/>
    <w:rsid w:val="00C61589"/>
    <w:rsid w:val="00C616F3"/>
    <w:rsid w:val="00C6180A"/>
    <w:rsid w:val="00C61894"/>
    <w:rsid w:val="00C61A9C"/>
    <w:rsid w:val="00C61C2A"/>
    <w:rsid w:val="00C61E38"/>
    <w:rsid w:val="00C61FFD"/>
    <w:rsid w:val="00C6225F"/>
    <w:rsid w:val="00C62AAB"/>
    <w:rsid w:val="00C6319C"/>
    <w:rsid w:val="00C636DE"/>
    <w:rsid w:val="00C63A5C"/>
    <w:rsid w:val="00C63C61"/>
    <w:rsid w:val="00C63E5D"/>
    <w:rsid w:val="00C641CE"/>
    <w:rsid w:val="00C642AD"/>
    <w:rsid w:val="00C646E4"/>
    <w:rsid w:val="00C64F58"/>
    <w:rsid w:val="00C653B4"/>
    <w:rsid w:val="00C659BE"/>
    <w:rsid w:val="00C66060"/>
    <w:rsid w:val="00C66ADE"/>
    <w:rsid w:val="00C66CCE"/>
    <w:rsid w:val="00C67574"/>
    <w:rsid w:val="00C67A02"/>
    <w:rsid w:val="00C67A2D"/>
    <w:rsid w:val="00C67CE6"/>
    <w:rsid w:val="00C67E66"/>
    <w:rsid w:val="00C700E1"/>
    <w:rsid w:val="00C71616"/>
    <w:rsid w:val="00C71E04"/>
    <w:rsid w:val="00C71F08"/>
    <w:rsid w:val="00C7284F"/>
    <w:rsid w:val="00C72983"/>
    <w:rsid w:val="00C72A6E"/>
    <w:rsid w:val="00C72EE5"/>
    <w:rsid w:val="00C735B3"/>
    <w:rsid w:val="00C73F42"/>
    <w:rsid w:val="00C744DB"/>
    <w:rsid w:val="00C748A0"/>
    <w:rsid w:val="00C74A11"/>
    <w:rsid w:val="00C74D1B"/>
    <w:rsid w:val="00C7501A"/>
    <w:rsid w:val="00C75B51"/>
    <w:rsid w:val="00C75D84"/>
    <w:rsid w:val="00C76671"/>
    <w:rsid w:val="00C76E7F"/>
    <w:rsid w:val="00C76FEA"/>
    <w:rsid w:val="00C77F7D"/>
    <w:rsid w:val="00C801F0"/>
    <w:rsid w:val="00C80258"/>
    <w:rsid w:val="00C80694"/>
    <w:rsid w:val="00C806CD"/>
    <w:rsid w:val="00C80D1F"/>
    <w:rsid w:val="00C80E65"/>
    <w:rsid w:val="00C80EC2"/>
    <w:rsid w:val="00C8167C"/>
    <w:rsid w:val="00C81B44"/>
    <w:rsid w:val="00C8215C"/>
    <w:rsid w:val="00C821E4"/>
    <w:rsid w:val="00C821ED"/>
    <w:rsid w:val="00C82B7F"/>
    <w:rsid w:val="00C83229"/>
    <w:rsid w:val="00C834CD"/>
    <w:rsid w:val="00C83D81"/>
    <w:rsid w:val="00C84082"/>
    <w:rsid w:val="00C84246"/>
    <w:rsid w:val="00C8430C"/>
    <w:rsid w:val="00C84BBE"/>
    <w:rsid w:val="00C84D19"/>
    <w:rsid w:val="00C84DDC"/>
    <w:rsid w:val="00C85375"/>
    <w:rsid w:val="00C857FB"/>
    <w:rsid w:val="00C85AF0"/>
    <w:rsid w:val="00C85C41"/>
    <w:rsid w:val="00C85FA4"/>
    <w:rsid w:val="00C864DD"/>
    <w:rsid w:val="00C86701"/>
    <w:rsid w:val="00C86D16"/>
    <w:rsid w:val="00C86E84"/>
    <w:rsid w:val="00C8704C"/>
    <w:rsid w:val="00C87338"/>
    <w:rsid w:val="00C8742F"/>
    <w:rsid w:val="00C87834"/>
    <w:rsid w:val="00C87BBA"/>
    <w:rsid w:val="00C91646"/>
    <w:rsid w:val="00C91704"/>
    <w:rsid w:val="00C91737"/>
    <w:rsid w:val="00C91A91"/>
    <w:rsid w:val="00C92B70"/>
    <w:rsid w:val="00C92B7F"/>
    <w:rsid w:val="00C932DB"/>
    <w:rsid w:val="00C933B7"/>
    <w:rsid w:val="00C93DFB"/>
    <w:rsid w:val="00C94099"/>
    <w:rsid w:val="00C9476A"/>
    <w:rsid w:val="00C94AFB"/>
    <w:rsid w:val="00C94F81"/>
    <w:rsid w:val="00C951FD"/>
    <w:rsid w:val="00C9568D"/>
    <w:rsid w:val="00C95D57"/>
    <w:rsid w:val="00C962FD"/>
    <w:rsid w:val="00C96357"/>
    <w:rsid w:val="00C96476"/>
    <w:rsid w:val="00C96AF9"/>
    <w:rsid w:val="00C96DE1"/>
    <w:rsid w:val="00C97C29"/>
    <w:rsid w:val="00CA05DD"/>
    <w:rsid w:val="00CA0AD6"/>
    <w:rsid w:val="00CA0F83"/>
    <w:rsid w:val="00CA1C87"/>
    <w:rsid w:val="00CA1E70"/>
    <w:rsid w:val="00CA267C"/>
    <w:rsid w:val="00CA3349"/>
    <w:rsid w:val="00CA4503"/>
    <w:rsid w:val="00CA451D"/>
    <w:rsid w:val="00CA49A0"/>
    <w:rsid w:val="00CA532D"/>
    <w:rsid w:val="00CA5831"/>
    <w:rsid w:val="00CA6223"/>
    <w:rsid w:val="00CA64C3"/>
    <w:rsid w:val="00CA659A"/>
    <w:rsid w:val="00CA66F2"/>
    <w:rsid w:val="00CA6FB7"/>
    <w:rsid w:val="00CA6FE1"/>
    <w:rsid w:val="00CA7335"/>
    <w:rsid w:val="00CA7BFB"/>
    <w:rsid w:val="00CB0171"/>
    <w:rsid w:val="00CB01D1"/>
    <w:rsid w:val="00CB037E"/>
    <w:rsid w:val="00CB0BDE"/>
    <w:rsid w:val="00CB0D30"/>
    <w:rsid w:val="00CB0F03"/>
    <w:rsid w:val="00CB1059"/>
    <w:rsid w:val="00CB156C"/>
    <w:rsid w:val="00CB1594"/>
    <w:rsid w:val="00CB1DC9"/>
    <w:rsid w:val="00CB2539"/>
    <w:rsid w:val="00CB2B19"/>
    <w:rsid w:val="00CB2BBB"/>
    <w:rsid w:val="00CB2DF0"/>
    <w:rsid w:val="00CB369F"/>
    <w:rsid w:val="00CB4202"/>
    <w:rsid w:val="00CB4534"/>
    <w:rsid w:val="00CB47E5"/>
    <w:rsid w:val="00CB4881"/>
    <w:rsid w:val="00CB4902"/>
    <w:rsid w:val="00CB4AC2"/>
    <w:rsid w:val="00CB4D08"/>
    <w:rsid w:val="00CB4FB1"/>
    <w:rsid w:val="00CB58D6"/>
    <w:rsid w:val="00CB5AFF"/>
    <w:rsid w:val="00CB5E03"/>
    <w:rsid w:val="00CB625D"/>
    <w:rsid w:val="00CB62C5"/>
    <w:rsid w:val="00CB6AC6"/>
    <w:rsid w:val="00CB6F81"/>
    <w:rsid w:val="00CB72A2"/>
    <w:rsid w:val="00CB781A"/>
    <w:rsid w:val="00CC0632"/>
    <w:rsid w:val="00CC3CBE"/>
    <w:rsid w:val="00CC404F"/>
    <w:rsid w:val="00CC4BA0"/>
    <w:rsid w:val="00CC55F5"/>
    <w:rsid w:val="00CC5793"/>
    <w:rsid w:val="00CC60CC"/>
    <w:rsid w:val="00CC6C1E"/>
    <w:rsid w:val="00CC6DE8"/>
    <w:rsid w:val="00CC74D5"/>
    <w:rsid w:val="00CC76AB"/>
    <w:rsid w:val="00CC76C2"/>
    <w:rsid w:val="00CC7E81"/>
    <w:rsid w:val="00CC7E85"/>
    <w:rsid w:val="00CD0A81"/>
    <w:rsid w:val="00CD0C95"/>
    <w:rsid w:val="00CD0E64"/>
    <w:rsid w:val="00CD11DD"/>
    <w:rsid w:val="00CD230F"/>
    <w:rsid w:val="00CD266A"/>
    <w:rsid w:val="00CD27E5"/>
    <w:rsid w:val="00CD3139"/>
    <w:rsid w:val="00CD3685"/>
    <w:rsid w:val="00CD3984"/>
    <w:rsid w:val="00CD4758"/>
    <w:rsid w:val="00CD4E55"/>
    <w:rsid w:val="00CD55D8"/>
    <w:rsid w:val="00CD5782"/>
    <w:rsid w:val="00CD5C43"/>
    <w:rsid w:val="00CD616E"/>
    <w:rsid w:val="00CD62E2"/>
    <w:rsid w:val="00CD640C"/>
    <w:rsid w:val="00CD645C"/>
    <w:rsid w:val="00CD66A1"/>
    <w:rsid w:val="00CD69D7"/>
    <w:rsid w:val="00CD6E92"/>
    <w:rsid w:val="00CD71C9"/>
    <w:rsid w:val="00CD71EF"/>
    <w:rsid w:val="00CD729F"/>
    <w:rsid w:val="00CD7B06"/>
    <w:rsid w:val="00CE020C"/>
    <w:rsid w:val="00CE087F"/>
    <w:rsid w:val="00CE128D"/>
    <w:rsid w:val="00CE143A"/>
    <w:rsid w:val="00CE1993"/>
    <w:rsid w:val="00CE1AC6"/>
    <w:rsid w:val="00CE1D4A"/>
    <w:rsid w:val="00CE267F"/>
    <w:rsid w:val="00CE300C"/>
    <w:rsid w:val="00CE300E"/>
    <w:rsid w:val="00CE3A53"/>
    <w:rsid w:val="00CE3C38"/>
    <w:rsid w:val="00CE3D4B"/>
    <w:rsid w:val="00CE3DF1"/>
    <w:rsid w:val="00CE44D7"/>
    <w:rsid w:val="00CE45FC"/>
    <w:rsid w:val="00CE4726"/>
    <w:rsid w:val="00CE5139"/>
    <w:rsid w:val="00CE5213"/>
    <w:rsid w:val="00CE5491"/>
    <w:rsid w:val="00CE567D"/>
    <w:rsid w:val="00CE58CC"/>
    <w:rsid w:val="00CE604A"/>
    <w:rsid w:val="00CE6614"/>
    <w:rsid w:val="00CE6E61"/>
    <w:rsid w:val="00CE7A91"/>
    <w:rsid w:val="00CE7E6E"/>
    <w:rsid w:val="00CE7F26"/>
    <w:rsid w:val="00CF0366"/>
    <w:rsid w:val="00CF0B65"/>
    <w:rsid w:val="00CF0FE5"/>
    <w:rsid w:val="00CF1998"/>
    <w:rsid w:val="00CF2E89"/>
    <w:rsid w:val="00CF2F11"/>
    <w:rsid w:val="00CF3094"/>
    <w:rsid w:val="00CF32EE"/>
    <w:rsid w:val="00CF33FB"/>
    <w:rsid w:val="00CF3A4D"/>
    <w:rsid w:val="00CF3CBF"/>
    <w:rsid w:val="00CF4248"/>
    <w:rsid w:val="00CF48FF"/>
    <w:rsid w:val="00CF5241"/>
    <w:rsid w:val="00CF590E"/>
    <w:rsid w:val="00CF59EC"/>
    <w:rsid w:val="00CF6349"/>
    <w:rsid w:val="00D0028A"/>
    <w:rsid w:val="00D00382"/>
    <w:rsid w:val="00D0076A"/>
    <w:rsid w:val="00D00A5A"/>
    <w:rsid w:val="00D0124D"/>
    <w:rsid w:val="00D01391"/>
    <w:rsid w:val="00D0179A"/>
    <w:rsid w:val="00D01E25"/>
    <w:rsid w:val="00D022D6"/>
    <w:rsid w:val="00D030FA"/>
    <w:rsid w:val="00D0399B"/>
    <w:rsid w:val="00D03A3B"/>
    <w:rsid w:val="00D03BB0"/>
    <w:rsid w:val="00D03BB9"/>
    <w:rsid w:val="00D03E7F"/>
    <w:rsid w:val="00D04256"/>
    <w:rsid w:val="00D045E3"/>
    <w:rsid w:val="00D045E6"/>
    <w:rsid w:val="00D048B9"/>
    <w:rsid w:val="00D04B66"/>
    <w:rsid w:val="00D04D9A"/>
    <w:rsid w:val="00D05100"/>
    <w:rsid w:val="00D051AA"/>
    <w:rsid w:val="00D05598"/>
    <w:rsid w:val="00D059EC"/>
    <w:rsid w:val="00D05B73"/>
    <w:rsid w:val="00D05BF4"/>
    <w:rsid w:val="00D05F03"/>
    <w:rsid w:val="00D063D0"/>
    <w:rsid w:val="00D101FE"/>
    <w:rsid w:val="00D10484"/>
    <w:rsid w:val="00D1051E"/>
    <w:rsid w:val="00D10684"/>
    <w:rsid w:val="00D10ED5"/>
    <w:rsid w:val="00D116D9"/>
    <w:rsid w:val="00D12673"/>
    <w:rsid w:val="00D12E0B"/>
    <w:rsid w:val="00D12F29"/>
    <w:rsid w:val="00D12F3E"/>
    <w:rsid w:val="00D13924"/>
    <w:rsid w:val="00D13FD1"/>
    <w:rsid w:val="00D14541"/>
    <w:rsid w:val="00D148CB"/>
    <w:rsid w:val="00D14B70"/>
    <w:rsid w:val="00D14F7B"/>
    <w:rsid w:val="00D15077"/>
    <w:rsid w:val="00D152A9"/>
    <w:rsid w:val="00D15978"/>
    <w:rsid w:val="00D16234"/>
    <w:rsid w:val="00D1698D"/>
    <w:rsid w:val="00D17881"/>
    <w:rsid w:val="00D17A83"/>
    <w:rsid w:val="00D17F09"/>
    <w:rsid w:val="00D17F49"/>
    <w:rsid w:val="00D2015A"/>
    <w:rsid w:val="00D212B9"/>
    <w:rsid w:val="00D213D1"/>
    <w:rsid w:val="00D216BD"/>
    <w:rsid w:val="00D218D4"/>
    <w:rsid w:val="00D219DC"/>
    <w:rsid w:val="00D22002"/>
    <w:rsid w:val="00D225AF"/>
    <w:rsid w:val="00D225FF"/>
    <w:rsid w:val="00D22622"/>
    <w:rsid w:val="00D227B4"/>
    <w:rsid w:val="00D2331D"/>
    <w:rsid w:val="00D2334B"/>
    <w:rsid w:val="00D23554"/>
    <w:rsid w:val="00D23ACB"/>
    <w:rsid w:val="00D23B12"/>
    <w:rsid w:val="00D2452D"/>
    <w:rsid w:val="00D246EC"/>
    <w:rsid w:val="00D24903"/>
    <w:rsid w:val="00D24F8B"/>
    <w:rsid w:val="00D2557E"/>
    <w:rsid w:val="00D25D86"/>
    <w:rsid w:val="00D266C9"/>
    <w:rsid w:val="00D267BB"/>
    <w:rsid w:val="00D268E3"/>
    <w:rsid w:val="00D26C81"/>
    <w:rsid w:val="00D27019"/>
    <w:rsid w:val="00D303D8"/>
    <w:rsid w:val="00D30DE9"/>
    <w:rsid w:val="00D310B1"/>
    <w:rsid w:val="00D31925"/>
    <w:rsid w:val="00D31A5D"/>
    <w:rsid w:val="00D31CC5"/>
    <w:rsid w:val="00D31D34"/>
    <w:rsid w:val="00D31DE0"/>
    <w:rsid w:val="00D32CB0"/>
    <w:rsid w:val="00D32E0C"/>
    <w:rsid w:val="00D333BC"/>
    <w:rsid w:val="00D33968"/>
    <w:rsid w:val="00D33C5B"/>
    <w:rsid w:val="00D33E73"/>
    <w:rsid w:val="00D341EB"/>
    <w:rsid w:val="00D348D1"/>
    <w:rsid w:val="00D34B8B"/>
    <w:rsid w:val="00D34F6D"/>
    <w:rsid w:val="00D350D4"/>
    <w:rsid w:val="00D358C9"/>
    <w:rsid w:val="00D35A8F"/>
    <w:rsid w:val="00D35E00"/>
    <w:rsid w:val="00D35EC0"/>
    <w:rsid w:val="00D35F0C"/>
    <w:rsid w:val="00D364C4"/>
    <w:rsid w:val="00D36A2F"/>
    <w:rsid w:val="00D370AA"/>
    <w:rsid w:val="00D403F1"/>
    <w:rsid w:val="00D4084C"/>
    <w:rsid w:val="00D408C6"/>
    <w:rsid w:val="00D40DCC"/>
    <w:rsid w:val="00D41130"/>
    <w:rsid w:val="00D416A6"/>
    <w:rsid w:val="00D41B11"/>
    <w:rsid w:val="00D41C2F"/>
    <w:rsid w:val="00D41EBA"/>
    <w:rsid w:val="00D42012"/>
    <w:rsid w:val="00D421A8"/>
    <w:rsid w:val="00D42317"/>
    <w:rsid w:val="00D42813"/>
    <w:rsid w:val="00D42E38"/>
    <w:rsid w:val="00D43711"/>
    <w:rsid w:val="00D43BC0"/>
    <w:rsid w:val="00D43D6C"/>
    <w:rsid w:val="00D43ECC"/>
    <w:rsid w:val="00D44096"/>
    <w:rsid w:val="00D441D4"/>
    <w:rsid w:val="00D442B9"/>
    <w:rsid w:val="00D44945"/>
    <w:rsid w:val="00D45258"/>
    <w:rsid w:val="00D45E63"/>
    <w:rsid w:val="00D46281"/>
    <w:rsid w:val="00D46910"/>
    <w:rsid w:val="00D46968"/>
    <w:rsid w:val="00D46C42"/>
    <w:rsid w:val="00D46FD7"/>
    <w:rsid w:val="00D47437"/>
    <w:rsid w:val="00D478B2"/>
    <w:rsid w:val="00D47ECE"/>
    <w:rsid w:val="00D50433"/>
    <w:rsid w:val="00D5079F"/>
    <w:rsid w:val="00D50B3A"/>
    <w:rsid w:val="00D513FA"/>
    <w:rsid w:val="00D5148A"/>
    <w:rsid w:val="00D51951"/>
    <w:rsid w:val="00D51C54"/>
    <w:rsid w:val="00D51CB6"/>
    <w:rsid w:val="00D51CF9"/>
    <w:rsid w:val="00D51E19"/>
    <w:rsid w:val="00D51F65"/>
    <w:rsid w:val="00D527AB"/>
    <w:rsid w:val="00D5296E"/>
    <w:rsid w:val="00D529DF"/>
    <w:rsid w:val="00D52AB5"/>
    <w:rsid w:val="00D535EC"/>
    <w:rsid w:val="00D5376A"/>
    <w:rsid w:val="00D53C4B"/>
    <w:rsid w:val="00D53DC5"/>
    <w:rsid w:val="00D5469C"/>
    <w:rsid w:val="00D549B6"/>
    <w:rsid w:val="00D54DEA"/>
    <w:rsid w:val="00D54EBF"/>
    <w:rsid w:val="00D551DA"/>
    <w:rsid w:val="00D55DA8"/>
    <w:rsid w:val="00D56052"/>
    <w:rsid w:val="00D5625E"/>
    <w:rsid w:val="00D563CD"/>
    <w:rsid w:val="00D5664C"/>
    <w:rsid w:val="00D56717"/>
    <w:rsid w:val="00D56AD9"/>
    <w:rsid w:val="00D57F09"/>
    <w:rsid w:val="00D600D8"/>
    <w:rsid w:val="00D601B1"/>
    <w:rsid w:val="00D6035A"/>
    <w:rsid w:val="00D604C5"/>
    <w:rsid w:val="00D60BFB"/>
    <w:rsid w:val="00D6194D"/>
    <w:rsid w:val="00D61D0C"/>
    <w:rsid w:val="00D621C9"/>
    <w:rsid w:val="00D626A0"/>
    <w:rsid w:val="00D62A8E"/>
    <w:rsid w:val="00D6334B"/>
    <w:rsid w:val="00D636D6"/>
    <w:rsid w:val="00D639ED"/>
    <w:rsid w:val="00D63BE7"/>
    <w:rsid w:val="00D63C03"/>
    <w:rsid w:val="00D63C5B"/>
    <w:rsid w:val="00D63C6E"/>
    <w:rsid w:val="00D63FA3"/>
    <w:rsid w:val="00D6411A"/>
    <w:rsid w:val="00D6412E"/>
    <w:rsid w:val="00D64CDC"/>
    <w:rsid w:val="00D64FD3"/>
    <w:rsid w:val="00D65028"/>
    <w:rsid w:val="00D6508C"/>
    <w:rsid w:val="00D65134"/>
    <w:rsid w:val="00D6544B"/>
    <w:rsid w:val="00D6562E"/>
    <w:rsid w:val="00D65DEC"/>
    <w:rsid w:val="00D66164"/>
    <w:rsid w:val="00D66815"/>
    <w:rsid w:val="00D66974"/>
    <w:rsid w:val="00D66E25"/>
    <w:rsid w:val="00D671C5"/>
    <w:rsid w:val="00D673AF"/>
    <w:rsid w:val="00D67637"/>
    <w:rsid w:val="00D67E6D"/>
    <w:rsid w:val="00D7048D"/>
    <w:rsid w:val="00D707CE"/>
    <w:rsid w:val="00D709DA"/>
    <w:rsid w:val="00D715B4"/>
    <w:rsid w:val="00D71A62"/>
    <w:rsid w:val="00D720DF"/>
    <w:rsid w:val="00D721C0"/>
    <w:rsid w:val="00D722EF"/>
    <w:rsid w:val="00D7243D"/>
    <w:rsid w:val="00D72818"/>
    <w:rsid w:val="00D730B8"/>
    <w:rsid w:val="00D733C5"/>
    <w:rsid w:val="00D73B48"/>
    <w:rsid w:val="00D73F8A"/>
    <w:rsid w:val="00D7467C"/>
    <w:rsid w:val="00D747BA"/>
    <w:rsid w:val="00D74B87"/>
    <w:rsid w:val="00D74D07"/>
    <w:rsid w:val="00D74E44"/>
    <w:rsid w:val="00D750B2"/>
    <w:rsid w:val="00D756C6"/>
    <w:rsid w:val="00D756F7"/>
    <w:rsid w:val="00D75D18"/>
    <w:rsid w:val="00D75FCF"/>
    <w:rsid w:val="00D76426"/>
    <w:rsid w:val="00D76CB1"/>
    <w:rsid w:val="00D77275"/>
    <w:rsid w:val="00D77632"/>
    <w:rsid w:val="00D77767"/>
    <w:rsid w:val="00D77BBC"/>
    <w:rsid w:val="00D77F90"/>
    <w:rsid w:val="00D80395"/>
    <w:rsid w:val="00D80926"/>
    <w:rsid w:val="00D809BB"/>
    <w:rsid w:val="00D811ED"/>
    <w:rsid w:val="00D81C3C"/>
    <w:rsid w:val="00D8249C"/>
    <w:rsid w:val="00D82995"/>
    <w:rsid w:val="00D82C7E"/>
    <w:rsid w:val="00D82CEE"/>
    <w:rsid w:val="00D83286"/>
    <w:rsid w:val="00D83331"/>
    <w:rsid w:val="00D83BC9"/>
    <w:rsid w:val="00D83E00"/>
    <w:rsid w:val="00D83FD4"/>
    <w:rsid w:val="00D84946"/>
    <w:rsid w:val="00D84AE4"/>
    <w:rsid w:val="00D84DEA"/>
    <w:rsid w:val="00D84FFC"/>
    <w:rsid w:val="00D854EC"/>
    <w:rsid w:val="00D85502"/>
    <w:rsid w:val="00D85CD8"/>
    <w:rsid w:val="00D86053"/>
    <w:rsid w:val="00D86D84"/>
    <w:rsid w:val="00D870EA"/>
    <w:rsid w:val="00D874A0"/>
    <w:rsid w:val="00D9019C"/>
    <w:rsid w:val="00D901CA"/>
    <w:rsid w:val="00D905E1"/>
    <w:rsid w:val="00D90D27"/>
    <w:rsid w:val="00D90F9C"/>
    <w:rsid w:val="00D91309"/>
    <w:rsid w:val="00D9139D"/>
    <w:rsid w:val="00D919E4"/>
    <w:rsid w:val="00D91C25"/>
    <w:rsid w:val="00D91F38"/>
    <w:rsid w:val="00D92A0C"/>
    <w:rsid w:val="00D92A93"/>
    <w:rsid w:val="00D92C82"/>
    <w:rsid w:val="00D92DC2"/>
    <w:rsid w:val="00D93BED"/>
    <w:rsid w:val="00D9436A"/>
    <w:rsid w:val="00D947AA"/>
    <w:rsid w:val="00D94C0D"/>
    <w:rsid w:val="00D94C2D"/>
    <w:rsid w:val="00D952E7"/>
    <w:rsid w:val="00D959A7"/>
    <w:rsid w:val="00D95BD1"/>
    <w:rsid w:val="00D96F2C"/>
    <w:rsid w:val="00D97577"/>
    <w:rsid w:val="00D9769F"/>
    <w:rsid w:val="00D97E1C"/>
    <w:rsid w:val="00DA00AB"/>
    <w:rsid w:val="00DA0686"/>
    <w:rsid w:val="00DA069D"/>
    <w:rsid w:val="00DA0B9D"/>
    <w:rsid w:val="00DA0C4E"/>
    <w:rsid w:val="00DA135C"/>
    <w:rsid w:val="00DA1925"/>
    <w:rsid w:val="00DA1B92"/>
    <w:rsid w:val="00DA229C"/>
    <w:rsid w:val="00DA268B"/>
    <w:rsid w:val="00DA290C"/>
    <w:rsid w:val="00DA3128"/>
    <w:rsid w:val="00DA3311"/>
    <w:rsid w:val="00DA3766"/>
    <w:rsid w:val="00DA3ADB"/>
    <w:rsid w:val="00DA3ADC"/>
    <w:rsid w:val="00DA489A"/>
    <w:rsid w:val="00DA48BC"/>
    <w:rsid w:val="00DA4E1C"/>
    <w:rsid w:val="00DA5ECA"/>
    <w:rsid w:val="00DA6056"/>
    <w:rsid w:val="00DA646C"/>
    <w:rsid w:val="00DA6550"/>
    <w:rsid w:val="00DA6BA9"/>
    <w:rsid w:val="00DA6DDC"/>
    <w:rsid w:val="00DA6F5B"/>
    <w:rsid w:val="00DA73F3"/>
    <w:rsid w:val="00DA7717"/>
    <w:rsid w:val="00DA78F3"/>
    <w:rsid w:val="00DA7CA5"/>
    <w:rsid w:val="00DB0783"/>
    <w:rsid w:val="00DB0AE7"/>
    <w:rsid w:val="00DB11D3"/>
    <w:rsid w:val="00DB137F"/>
    <w:rsid w:val="00DB1452"/>
    <w:rsid w:val="00DB28B9"/>
    <w:rsid w:val="00DB29CA"/>
    <w:rsid w:val="00DB36AE"/>
    <w:rsid w:val="00DB371B"/>
    <w:rsid w:val="00DB385E"/>
    <w:rsid w:val="00DB4243"/>
    <w:rsid w:val="00DB4E44"/>
    <w:rsid w:val="00DB5042"/>
    <w:rsid w:val="00DB514D"/>
    <w:rsid w:val="00DB684B"/>
    <w:rsid w:val="00DB6B96"/>
    <w:rsid w:val="00DB709E"/>
    <w:rsid w:val="00DB70DF"/>
    <w:rsid w:val="00DB71CF"/>
    <w:rsid w:val="00DB729C"/>
    <w:rsid w:val="00DB7EEA"/>
    <w:rsid w:val="00DC0852"/>
    <w:rsid w:val="00DC0F84"/>
    <w:rsid w:val="00DC1835"/>
    <w:rsid w:val="00DC1E8E"/>
    <w:rsid w:val="00DC2183"/>
    <w:rsid w:val="00DC29A5"/>
    <w:rsid w:val="00DC2C78"/>
    <w:rsid w:val="00DC2C90"/>
    <w:rsid w:val="00DC3427"/>
    <w:rsid w:val="00DC36CF"/>
    <w:rsid w:val="00DC3857"/>
    <w:rsid w:val="00DC3F66"/>
    <w:rsid w:val="00DC3FFD"/>
    <w:rsid w:val="00DC4050"/>
    <w:rsid w:val="00DC5365"/>
    <w:rsid w:val="00DC5D56"/>
    <w:rsid w:val="00DC5D6B"/>
    <w:rsid w:val="00DC5E83"/>
    <w:rsid w:val="00DC665A"/>
    <w:rsid w:val="00DC67D5"/>
    <w:rsid w:val="00DC694B"/>
    <w:rsid w:val="00DC69E7"/>
    <w:rsid w:val="00DC6B22"/>
    <w:rsid w:val="00DC6C55"/>
    <w:rsid w:val="00DC6C8C"/>
    <w:rsid w:val="00DC70E1"/>
    <w:rsid w:val="00DC7267"/>
    <w:rsid w:val="00DC747F"/>
    <w:rsid w:val="00DC7B11"/>
    <w:rsid w:val="00DC7D50"/>
    <w:rsid w:val="00DD05E5"/>
    <w:rsid w:val="00DD0703"/>
    <w:rsid w:val="00DD0D04"/>
    <w:rsid w:val="00DD1C3E"/>
    <w:rsid w:val="00DD22B6"/>
    <w:rsid w:val="00DD2ECE"/>
    <w:rsid w:val="00DD30E3"/>
    <w:rsid w:val="00DD32A0"/>
    <w:rsid w:val="00DD34B0"/>
    <w:rsid w:val="00DD3676"/>
    <w:rsid w:val="00DD4398"/>
    <w:rsid w:val="00DD43AD"/>
    <w:rsid w:val="00DD4F2C"/>
    <w:rsid w:val="00DD5368"/>
    <w:rsid w:val="00DD58B2"/>
    <w:rsid w:val="00DD59F3"/>
    <w:rsid w:val="00DD602F"/>
    <w:rsid w:val="00DD612A"/>
    <w:rsid w:val="00DD6550"/>
    <w:rsid w:val="00DD6800"/>
    <w:rsid w:val="00DD6C20"/>
    <w:rsid w:val="00DD72B3"/>
    <w:rsid w:val="00DD743C"/>
    <w:rsid w:val="00DE03F1"/>
    <w:rsid w:val="00DE0804"/>
    <w:rsid w:val="00DE0C5C"/>
    <w:rsid w:val="00DE0C68"/>
    <w:rsid w:val="00DE0D1B"/>
    <w:rsid w:val="00DE17B4"/>
    <w:rsid w:val="00DE2189"/>
    <w:rsid w:val="00DE227E"/>
    <w:rsid w:val="00DE29B4"/>
    <w:rsid w:val="00DE29DE"/>
    <w:rsid w:val="00DE3033"/>
    <w:rsid w:val="00DE3E52"/>
    <w:rsid w:val="00DE40BC"/>
    <w:rsid w:val="00DE47A9"/>
    <w:rsid w:val="00DE48E1"/>
    <w:rsid w:val="00DE52B9"/>
    <w:rsid w:val="00DE5512"/>
    <w:rsid w:val="00DE5CA3"/>
    <w:rsid w:val="00DE61F3"/>
    <w:rsid w:val="00DE6263"/>
    <w:rsid w:val="00DE64A2"/>
    <w:rsid w:val="00DE735D"/>
    <w:rsid w:val="00DE74A9"/>
    <w:rsid w:val="00DE7557"/>
    <w:rsid w:val="00DE7C0E"/>
    <w:rsid w:val="00DE7E1D"/>
    <w:rsid w:val="00DF03DA"/>
    <w:rsid w:val="00DF03FE"/>
    <w:rsid w:val="00DF156C"/>
    <w:rsid w:val="00DF1F21"/>
    <w:rsid w:val="00DF21C0"/>
    <w:rsid w:val="00DF269C"/>
    <w:rsid w:val="00DF2B45"/>
    <w:rsid w:val="00DF2CC0"/>
    <w:rsid w:val="00DF2EBD"/>
    <w:rsid w:val="00DF35F6"/>
    <w:rsid w:val="00DF3640"/>
    <w:rsid w:val="00DF388A"/>
    <w:rsid w:val="00DF3B21"/>
    <w:rsid w:val="00DF3C3D"/>
    <w:rsid w:val="00DF426A"/>
    <w:rsid w:val="00DF472F"/>
    <w:rsid w:val="00DF4DE9"/>
    <w:rsid w:val="00DF52E0"/>
    <w:rsid w:val="00DF55A7"/>
    <w:rsid w:val="00DF55FD"/>
    <w:rsid w:val="00DF5667"/>
    <w:rsid w:val="00DF5910"/>
    <w:rsid w:val="00DF621E"/>
    <w:rsid w:val="00DF7082"/>
    <w:rsid w:val="00DF745C"/>
    <w:rsid w:val="00DF7659"/>
    <w:rsid w:val="00DF7A57"/>
    <w:rsid w:val="00DF7F05"/>
    <w:rsid w:val="00DF7F0E"/>
    <w:rsid w:val="00E00261"/>
    <w:rsid w:val="00E0064B"/>
    <w:rsid w:val="00E00A95"/>
    <w:rsid w:val="00E00C06"/>
    <w:rsid w:val="00E0105B"/>
    <w:rsid w:val="00E01321"/>
    <w:rsid w:val="00E0144C"/>
    <w:rsid w:val="00E01C57"/>
    <w:rsid w:val="00E01D5C"/>
    <w:rsid w:val="00E0218B"/>
    <w:rsid w:val="00E02657"/>
    <w:rsid w:val="00E026AC"/>
    <w:rsid w:val="00E0293A"/>
    <w:rsid w:val="00E03300"/>
    <w:rsid w:val="00E03527"/>
    <w:rsid w:val="00E03AC7"/>
    <w:rsid w:val="00E03C81"/>
    <w:rsid w:val="00E056B5"/>
    <w:rsid w:val="00E059EC"/>
    <w:rsid w:val="00E065F7"/>
    <w:rsid w:val="00E07017"/>
    <w:rsid w:val="00E0750E"/>
    <w:rsid w:val="00E07AA4"/>
    <w:rsid w:val="00E07EE3"/>
    <w:rsid w:val="00E102F6"/>
    <w:rsid w:val="00E108ED"/>
    <w:rsid w:val="00E108F4"/>
    <w:rsid w:val="00E10C48"/>
    <w:rsid w:val="00E10E0B"/>
    <w:rsid w:val="00E10E38"/>
    <w:rsid w:val="00E12798"/>
    <w:rsid w:val="00E12BFE"/>
    <w:rsid w:val="00E12D09"/>
    <w:rsid w:val="00E12F04"/>
    <w:rsid w:val="00E132D1"/>
    <w:rsid w:val="00E1373D"/>
    <w:rsid w:val="00E1378A"/>
    <w:rsid w:val="00E145AD"/>
    <w:rsid w:val="00E14682"/>
    <w:rsid w:val="00E14A9D"/>
    <w:rsid w:val="00E14BF1"/>
    <w:rsid w:val="00E150E5"/>
    <w:rsid w:val="00E15BAA"/>
    <w:rsid w:val="00E1645B"/>
    <w:rsid w:val="00E1667E"/>
    <w:rsid w:val="00E16AAB"/>
    <w:rsid w:val="00E16C10"/>
    <w:rsid w:val="00E17B05"/>
    <w:rsid w:val="00E21043"/>
    <w:rsid w:val="00E21A87"/>
    <w:rsid w:val="00E22481"/>
    <w:rsid w:val="00E23473"/>
    <w:rsid w:val="00E2374B"/>
    <w:rsid w:val="00E23D00"/>
    <w:rsid w:val="00E23E07"/>
    <w:rsid w:val="00E24169"/>
    <w:rsid w:val="00E243B0"/>
    <w:rsid w:val="00E24EEC"/>
    <w:rsid w:val="00E255CA"/>
    <w:rsid w:val="00E2568A"/>
    <w:rsid w:val="00E25CB6"/>
    <w:rsid w:val="00E260E0"/>
    <w:rsid w:val="00E26678"/>
    <w:rsid w:val="00E2726D"/>
    <w:rsid w:val="00E3040B"/>
    <w:rsid w:val="00E305D6"/>
    <w:rsid w:val="00E30A62"/>
    <w:rsid w:val="00E30B81"/>
    <w:rsid w:val="00E30BD0"/>
    <w:rsid w:val="00E313AF"/>
    <w:rsid w:val="00E31C05"/>
    <w:rsid w:val="00E321A3"/>
    <w:rsid w:val="00E32550"/>
    <w:rsid w:val="00E32750"/>
    <w:rsid w:val="00E32AF0"/>
    <w:rsid w:val="00E32B11"/>
    <w:rsid w:val="00E32CF7"/>
    <w:rsid w:val="00E32FCC"/>
    <w:rsid w:val="00E337C0"/>
    <w:rsid w:val="00E339BE"/>
    <w:rsid w:val="00E33E03"/>
    <w:rsid w:val="00E345CB"/>
    <w:rsid w:val="00E3463F"/>
    <w:rsid w:val="00E34FAC"/>
    <w:rsid w:val="00E35720"/>
    <w:rsid w:val="00E3591A"/>
    <w:rsid w:val="00E3629D"/>
    <w:rsid w:val="00E3668C"/>
    <w:rsid w:val="00E36947"/>
    <w:rsid w:val="00E36C78"/>
    <w:rsid w:val="00E36EC4"/>
    <w:rsid w:val="00E37394"/>
    <w:rsid w:val="00E37411"/>
    <w:rsid w:val="00E37CE7"/>
    <w:rsid w:val="00E37FFE"/>
    <w:rsid w:val="00E4129E"/>
    <w:rsid w:val="00E42794"/>
    <w:rsid w:val="00E433E2"/>
    <w:rsid w:val="00E43922"/>
    <w:rsid w:val="00E440D4"/>
    <w:rsid w:val="00E44950"/>
    <w:rsid w:val="00E45B50"/>
    <w:rsid w:val="00E45C24"/>
    <w:rsid w:val="00E46EAF"/>
    <w:rsid w:val="00E4790A"/>
    <w:rsid w:val="00E5023A"/>
    <w:rsid w:val="00E502EB"/>
    <w:rsid w:val="00E503E0"/>
    <w:rsid w:val="00E5067E"/>
    <w:rsid w:val="00E5081D"/>
    <w:rsid w:val="00E50AD1"/>
    <w:rsid w:val="00E50B51"/>
    <w:rsid w:val="00E51A26"/>
    <w:rsid w:val="00E51B54"/>
    <w:rsid w:val="00E51CB8"/>
    <w:rsid w:val="00E51D26"/>
    <w:rsid w:val="00E53B90"/>
    <w:rsid w:val="00E54179"/>
    <w:rsid w:val="00E54DD3"/>
    <w:rsid w:val="00E556D3"/>
    <w:rsid w:val="00E55E67"/>
    <w:rsid w:val="00E5642D"/>
    <w:rsid w:val="00E56872"/>
    <w:rsid w:val="00E568AD"/>
    <w:rsid w:val="00E56A29"/>
    <w:rsid w:val="00E56E3A"/>
    <w:rsid w:val="00E574A0"/>
    <w:rsid w:val="00E57690"/>
    <w:rsid w:val="00E60393"/>
    <w:rsid w:val="00E60B94"/>
    <w:rsid w:val="00E613F8"/>
    <w:rsid w:val="00E61641"/>
    <w:rsid w:val="00E61644"/>
    <w:rsid w:val="00E6174E"/>
    <w:rsid w:val="00E624C8"/>
    <w:rsid w:val="00E6299F"/>
    <w:rsid w:val="00E62CE2"/>
    <w:rsid w:val="00E631C7"/>
    <w:rsid w:val="00E634F2"/>
    <w:rsid w:val="00E641FC"/>
    <w:rsid w:val="00E64389"/>
    <w:rsid w:val="00E647F4"/>
    <w:rsid w:val="00E64DEE"/>
    <w:rsid w:val="00E64F2F"/>
    <w:rsid w:val="00E65B73"/>
    <w:rsid w:val="00E6628D"/>
    <w:rsid w:val="00E66826"/>
    <w:rsid w:val="00E66BE8"/>
    <w:rsid w:val="00E66E44"/>
    <w:rsid w:val="00E67943"/>
    <w:rsid w:val="00E70988"/>
    <w:rsid w:val="00E71940"/>
    <w:rsid w:val="00E71AB9"/>
    <w:rsid w:val="00E71F0D"/>
    <w:rsid w:val="00E73264"/>
    <w:rsid w:val="00E73657"/>
    <w:rsid w:val="00E736EC"/>
    <w:rsid w:val="00E73B18"/>
    <w:rsid w:val="00E73C53"/>
    <w:rsid w:val="00E73CA0"/>
    <w:rsid w:val="00E74714"/>
    <w:rsid w:val="00E74B78"/>
    <w:rsid w:val="00E74E05"/>
    <w:rsid w:val="00E74F8A"/>
    <w:rsid w:val="00E7531E"/>
    <w:rsid w:val="00E753AE"/>
    <w:rsid w:val="00E75A95"/>
    <w:rsid w:val="00E75BA9"/>
    <w:rsid w:val="00E75DA9"/>
    <w:rsid w:val="00E75EB2"/>
    <w:rsid w:val="00E76526"/>
    <w:rsid w:val="00E76FA7"/>
    <w:rsid w:val="00E7740C"/>
    <w:rsid w:val="00E77F47"/>
    <w:rsid w:val="00E77F7B"/>
    <w:rsid w:val="00E80BBA"/>
    <w:rsid w:val="00E8153D"/>
    <w:rsid w:val="00E815D0"/>
    <w:rsid w:val="00E8178F"/>
    <w:rsid w:val="00E8181F"/>
    <w:rsid w:val="00E8187C"/>
    <w:rsid w:val="00E819DA"/>
    <w:rsid w:val="00E82DFA"/>
    <w:rsid w:val="00E83065"/>
    <w:rsid w:val="00E8328E"/>
    <w:rsid w:val="00E8349E"/>
    <w:rsid w:val="00E83588"/>
    <w:rsid w:val="00E839AA"/>
    <w:rsid w:val="00E83AB5"/>
    <w:rsid w:val="00E83C37"/>
    <w:rsid w:val="00E83CD7"/>
    <w:rsid w:val="00E83F45"/>
    <w:rsid w:val="00E83F6C"/>
    <w:rsid w:val="00E842D0"/>
    <w:rsid w:val="00E84AE2"/>
    <w:rsid w:val="00E852F6"/>
    <w:rsid w:val="00E85657"/>
    <w:rsid w:val="00E859C4"/>
    <w:rsid w:val="00E85B3A"/>
    <w:rsid w:val="00E85FA5"/>
    <w:rsid w:val="00E864B8"/>
    <w:rsid w:val="00E8668E"/>
    <w:rsid w:val="00E868D2"/>
    <w:rsid w:val="00E868D5"/>
    <w:rsid w:val="00E86C44"/>
    <w:rsid w:val="00E86F5B"/>
    <w:rsid w:val="00E8725B"/>
    <w:rsid w:val="00E879EE"/>
    <w:rsid w:val="00E87BEF"/>
    <w:rsid w:val="00E87C34"/>
    <w:rsid w:val="00E902A9"/>
    <w:rsid w:val="00E903FB"/>
    <w:rsid w:val="00E909CF"/>
    <w:rsid w:val="00E91A4A"/>
    <w:rsid w:val="00E91B05"/>
    <w:rsid w:val="00E91BE3"/>
    <w:rsid w:val="00E91E4A"/>
    <w:rsid w:val="00E921AD"/>
    <w:rsid w:val="00E9275B"/>
    <w:rsid w:val="00E92D8C"/>
    <w:rsid w:val="00E92E6A"/>
    <w:rsid w:val="00E931E2"/>
    <w:rsid w:val="00E935A5"/>
    <w:rsid w:val="00E93A4E"/>
    <w:rsid w:val="00E93BA3"/>
    <w:rsid w:val="00E94185"/>
    <w:rsid w:val="00E951E2"/>
    <w:rsid w:val="00E9687B"/>
    <w:rsid w:val="00E96925"/>
    <w:rsid w:val="00E969CF"/>
    <w:rsid w:val="00E970A8"/>
    <w:rsid w:val="00E974A9"/>
    <w:rsid w:val="00E97630"/>
    <w:rsid w:val="00E976B1"/>
    <w:rsid w:val="00E97BB1"/>
    <w:rsid w:val="00E97DF3"/>
    <w:rsid w:val="00EA0078"/>
    <w:rsid w:val="00EA01D2"/>
    <w:rsid w:val="00EA058B"/>
    <w:rsid w:val="00EA08D8"/>
    <w:rsid w:val="00EA0934"/>
    <w:rsid w:val="00EA0AAB"/>
    <w:rsid w:val="00EA0DBD"/>
    <w:rsid w:val="00EA0E27"/>
    <w:rsid w:val="00EA0E41"/>
    <w:rsid w:val="00EA0E85"/>
    <w:rsid w:val="00EA26AD"/>
    <w:rsid w:val="00EA26F7"/>
    <w:rsid w:val="00EA2A27"/>
    <w:rsid w:val="00EA2FD2"/>
    <w:rsid w:val="00EA3103"/>
    <w:rsid w:val="00EA32E2"/>
    <w:rsid w:val="00EA32EB"/>
    <w:rsid w:val="00EA3347"/>
    <w:rsid w:val="00EA3782"/>
    <w:rsid w:val="00EA4A22"/>
    <w:rsid w:val="00EA4C02"/>
    <w:rsid w:val="00EA53AA"/>
    <w:rsid w:val="00EA5920"/>
    <w:rsid w:val="00EA66A9"/>
    <w:rsid w:val="00EA71E7"/>
    <w:rsid w:val="00EA7938"/>
    <w:rsid w:val="00EB0023"/>
    <w:rsid w:val="00EB037D"/>
    <w:rsid w:val="00EB03F8"/>
    <w:rsid w:val="00EB1167"/>
    <w:rsid w:val="00EB1302"/>
    <w:rsid w:val="00EB1693"/>
    <w:rsid w:val="00EB23E9"/>
    <w:rsid w:val="00EB252D"/>
    <w:rsid w:val="00EB25D8"/>
    <w:rsid w:val="00EB2959"/>
    <w:rsid w:val="00EB2DA8"/>
    <w:rsid w:val="00EB37FF"/>
    <w:rsid w:val="00EB3A94"/>
    <w:rsid w:val="00EB3DC1"/>
    <w:rsid w:val="00EB42C3"/>
    <w:rsid w:val="00EB45AC"/>
    <w:rsid w:val="00EB4661"/>
    <w:rsid w:val="00EB4D78"/>
    <w:rsid w:val="00EB4F54"/>
    <w:rsid w:val="00EB4FC6"/>
    <w:rsid w:val="00EB537E"/>
    <w:rsid w:val="00EB5448"/>
    <w:rsid w:val="00EB5825"/>
    <w:rsid w:val="00EB5C3E"/>
    <w:rsid w:val="00EB5F19"/>
    <w:rsid w:val="00EB605B"/>
    <w:rsid w:val="00EB6CCF"/>
    <w:rsid w:val="00EB6D9B"/>
    <w:rsid w:val="00EB704C"/>
    <w:rsid w:val="00EB753F"/>
    <w:rsid w:val="00EB796C"/>
    <w:rsid w:val="00EB7F1D"/>
    <w:rsid w:val="00EC03EF"/>
    <w:rsid w:val="00EC1193"/>
    <w:rsid w:val="00EC134B"/>
    <w:rsid w:val="00EC14DE"/>
    <w:rsid w:val="00EC1799"/>
    <w:rsid w:val="00EC1D6D"/>
    <w:rsid w:val="00EC1F20"/>
    <w:rsid w:val="00EC2366"/>
    <w:rsid w:val="00EC24C0"/>
    <w:rsid w:val="00EC2759"/>
    <w:rsid w:val="00EC2784"/>
    <w:rsid w:val="00EC2FD4"/>
    <w:rsid w:val="00EC3920"/>
    <w:rsid w:val="00EC4B30"/>
    <w:rsid w:val="00EC550D"/>
    <w:rsid w:val="00EC5CA3"/>
    <w:rsid w:val="00EC5FCC"/>
    <w:rsid w:val="00EC66AF"/>
    <w:rsid w:val="00EC686D"/>
    <w:rsid w:val="00EC6D11"/>
    <w:rsid w:val="00EC6E15"/>
    <w:rsid w:val="00EC6F10"/>
    <w:rsid w:val="00EC6F90"/>
    <w:rsid w:val="00EC6F9C"/>
    <w:rsid w:val="00EC73DE"/>
    <w:rsid w:val="00EC75F0"/>
    <w:rsid w:val="00ED05BC"/>
    <w:rsid w:val="00ED0EBE"/>
    <w:rsid w:val="00ED0FD6"/>
    <w:rsid w:val="00ED119C"/>
    <w:rsid w:val="00ED11F7"/>
    <w:rsid w:val="00ED12BF"/>
    <w:rsid w:val="00ED158C"/>
    <w:rsid w:val="00ED2047"/>
    <w:rsid w:val="00ED2452"/>
    <w:rsid w:val="00ED267B"/>
    <w:rsid w:val="00ED2F1D"/>
    <w:rsid w:val="00ED300B"/>
    <w:rsid w:val="00ED3289"/>
    <w:rsid w:val="00ED373D"/>
    <w:rsid w:val="00ED3783"/>
    <w:rsid w:val="00ED3D1B"/>
    <w:rsid w:val="00ED40E3"/>
    <w:rsid w:val="00ED4627"/>
    <w:rsid w:val="00ED464B"/>
    <w:rsid w:val="00ED4C4D"/>
    <w:rsid w:val="00ED5119"/>
    <w:rsid w:val="00ED511C"/>
    <w:rsid w:val="00ED5196"/>
    <w:rsid w:val="00ED5317"/>
    <w:rsid w:val="00ED5C63"/>
    <w:rsid w:val="00ED6460"/>
    <w:rsid w:val="00ED6540"/>
    <w:rsid w:val="00ED716C"/>
    <w:rsid w:val="00ED7585"/>
    <w:rsid w:val="00ED7AE8"/>
    <w:rsid w:val="00ED7B4C"/>
    <w:rsid w:val="00EE02FE"/>
    <w:rsid w:val="00EE063D"/>
    <w:rsid w:val="00EE0B60"/>
    <w:rsid w:val="00EE0BD2"/>
    <w:rsid w:val="00EE0CBC"/>
    <w:rsid w:val="00EE0DD3"/>
    <w:rsid w:val="00EE1895"/>
    <w:rsid w:val="00EE2123"/>
    <w:rsid w:val="00EE247F"/>
    <w:rsid w:val="00EE33DD"/>
    <w:rsid w:val="00EE3442"/>
    <w:rsid w:val="00EE3932"/>
    <w:rsid w:val="00EE41C0"/>
    <w:rsid w:val="00EE457E"/>
    <w:rsid w:val="00EE45B8"/>
    <w:rsid w:val="00EE5F44"/>
    <w:rsid w:val="00EE6264"/>
    <w:rsid w:val="00EE63DC"/>
    <w:rsid w:val="00EE64A6"/>
    <w:rsid w:val="00EE653F"/>
    <w:rsid w:val="00EE66D6"/>
    <w:rsid w:val="00EE6BF9"/>
    <w:rsid w:val="00EE6C6D"/>
    <w:rsid w:val="00EE79AC"/>
    <w:rsid w:val="00EF068C"/>
    <w:rsid w:val="00EF0AB6"/>
    <w:rsid w:val="00EF0B6A"/>
    <w:rsid w:val="00EF2035"/>
    <w:rsid w:val="00EF2423"/>
    <w:rsid w:val="00EF2582"/>
    <w:rsid w:val="00EF2608"/>
    <w:rsid w:val="00EF27DF"/>
    <w:rsid w:val="00EF2CB0"/>
    <w:rsid w:val="00EF30E1"/>
    <w:rsid w:val="00EF34FE"/>
    <w:rsid w:val="00EF374A"/>
    <w:rsid w:val="00EF39D7"/>
    <w:rsid w:val="00EF3C1C"/>
    <w:rsid w:val="00EF4A42"/>
    <w:rsid w:val="00EF4AC3"/>
    <w:rsid w:val="00EF4C35"/>
    <w:rsid w:val="00EF5237"/>
    <w:rsid w:val="00EF5916"/>
    <w:rsid w:val="00EF5B54"/>
    <w:rsid w:val="00EF5BF6"/>
    <w:rsid w:val="00EF65E8"/>
    <w:rsid w:val="00EF7092"/>
    <w:rsid w:val="00EF73A7"/>
    <w:rsid w:val="00F000D7"/>
    <w:rsid w:val="00F00C76"/>
    <w:rsid w:val="00F01096"/>
    <w:rsid w:val="00F01108"/>
    <w:rsid w:val="00F0151A"/>
    <w:rsid w:val="00F01F16"/>
    <w:rsid w:val="00F01F51"/>
    <w:rsid w:val="00F01F69"/>
    <w:rsid w:val="00F0206F"/>
    <w:rsid w:val="00F02157"/>
    <w:rsid w:val="00F02787"/>
    <w:rsid w:val="00F03324"/>
    <w:rsid w:val="00F037BB"/>
    <w:rsid w:val="00F038DB"/>
    <w:rsid w:val="00F03EAC"/>
    <w:rsid w:val="00F041A9"/>
    <w:rsid w:val="00F0438A"/>
    <w:rsid w:val="00F04410"/>
    <w:rsid w:val="00F0474C"/>
    <w:rsid w:val="00F05059"/>
    <w:rsid w:val="00F051E2"/>
    <w:rsid w:val="00F057D2"/>
    <w:rsid w:val="00F0625B"/>
    <w:rsid w:val="00F068FF"/>
    <w:rsid w:val="00F1065B"/>
    <w:rsid w:val="00F10763"/>
    <w:rsid w:val="00F107ED"/>
    <w:rsid w:val="00F1095C"/>
    <w:rsid w:val="00F10B1A"/>
    <w:rsid w:val="00F10BBC"/>
    <w:rsid w:val="00F1180A"/>
    <w:rsid w:val="00F11A14"/>
    <w:rsid w:val="00F11BD7"/>
    <w:rsid w:val="00F11D1E"/>
    <w:rsid w:val="00F11E45"/>
    <w:rsid w:val="00F12E17"/>
    <w:rsid w:val="00F139EB"/>
    <w:rsid w:val="00F13F36"/>
    <w:rsid w:val="00F14129"/>
    <w:rsid w:val="00F14FC1"/>
    <w:rsid w:val="00F15401"/>
    <w:rsid w:val="00F15F48"/>
    <w:rsid w:val="00F165B2"/>
    <w:rsid w:val="00F16806"/>
    <w:rsid w:val="00F16B08"/>
    <w:rsid w:val="00F17B8C"/>
    <w:rsid w:val="00F17CBE"/>
    <w:rsid w:val="00F17FF7"/>
    <w:rsid w:val="00F203D0"/>
    <w:rsid w:val="00F21566"/>
    <w:rsid w:val="00F215D4"/>
    <w:rsid w:val="00F21D00"/>
    <w:rsid w:val="00F21F11"/>
    <w:rsid w:val="00F2248B"/>
    <w:rsid w:val="00F23446"/>
    <w:rsid w:val="00F23542"/>
    <w:rsid w:val="00F23904"/>
    <w:rsid w:val="00F23AC7"/>
    <w:rsid w:val="00F241E3"/>
    <w:rsid w:val="00F24692"/>
    <w:rsid w:val="00F24847"/>
    <w:rsid w:val="00F249BA"/>
    <w:rsid w:val="00F25103"/>
    <w:rsid w:val="00F255FF"/>
    <w:rsid w:val="00F257C5"/>
    <w:rsid w:val="00F262DD"/>
    <w:rsid w:val="00F26424"/>
    <w:rsid w:val="00F26618"/>
    <w:rsid w:val="00F270F3"/>
    <w:rsid w:val="00F27A36"/>
    <w:rsid w:val="00F308D3"/>
    <w:rsid w:val="00F30CF8"/>
    <w:rsid w:val="00F30E7B"/>
    <w:rsid w:val="00F30E8A"/>
    <w:rsid w:val="00F3122B"/>
    <w:rsid w:val="00F3125E"/>
    <w:rsid w:val="00F314F2"/>
    <w:rsid w:val="00F31D15"/>
    <w:rsid w:val="00F31FD2"/>
    <w:rsid w:val="00F328A0"/>
    <w:rsid w:val="00F329C8"/>
    <w:rsid w:val="00F32B6F"/>
    <w:rsid w:val="00F32CB1"/>
    <w:rsid w:val="00F335EA"/>
    <w:rsid w:val="00F33B56"/>
    <w:rsid w:val="00F33F8F"/>
    <w:rsid w:val="00F3400B"/>
    <w:rsid w:val="00F34700"/>
    <w:rsid w:val="00F34800"/>
    <w:rsid w:val="00F35989"/>
    <w:rsid w:val="00F35ABF"/>
    <w:rsid w:val="00F35BA7"/>
    <w:rsid w:val="00F36104"/>
    <w:rsid w:val="00F363EA"/>
    <w:rsid w:val="00F3683C"/>
    <w:rsid w:val="00F3742A"/>
    <w:rsid w:val="00F3759C"/>
    <w:rsid w:val="00F409A8"/>
    <w:rsid w:val="00F4113D"/>
    <w:rsid w:val="00F41457"/>
    <w:rsid w:val="00F41554"/>
    <w:rsid w:val="00F41556"/>
    <w:rsid w:val="00F419CF"/>
    <w:rsid w:val="00F41AFF"/>
    <w:rsid w:val="00F41BDD"/>
    <w:rsid w:val="00F41CDE"/>
    <w:rsid w:val="00F41D78"/>
    <w:rsid w:val="00F4252E"/>
    <w:rsid w:val="00F42D62"/>
    <w:rsid w:val="00F42FBC"/>
    <w:rsid w:val="00F43734"/>
    <w:rsid w:val="00F44631"/>
    <w:rsid w:val="00F44AD8"/>
    <w:rsid w:val="00F44E02"/>
    <w:rsid w:val="00F452B5"/>
    <w:rsid w:val="00F453A4"/>
    <w:rsid w:val="00F47140"/>
    <w:rsid w:val="00F476C2"/>
    <w:rsid w:val="00F47795"/>
    <w:rsid w:val="00F47C07"/>
    <w:rsid w:val="00F47DE0"/>
    <w:rsid w:val="00F50E7C"/>
    <w:rsid w:val="00F518DC"/>
    <w:rsid w:val="00F51ACD"/>
    <w:rsid w:val="00F52296"/>
    <w:rsid w:val="00F5264B"/>
    <w:rsid w:val="00F52FD0"/>
    <w:rsid w:val="00F532AD"/>
    <w:rsid w:val="00F53362"/>
    <w:rsid w:val="00F54831"/>
    <w:rsid w:val="00F54C53"/>
    <w:rsid w:val="00F550AE"/>
    <w:rsid w:val="00F5663A"/>
    <w:rsid w:val="00F56696"/>
    <w:rsid w:val="00F56E2B"/>
    <w:rsid w:val="00F56FCA"/>
    <w:rsid w:val="00F57077"/>
    <w:rsid w:val="00F57352"/>
    <w:rsid w:val="00F60007"/>
    <w:rsid w:val="00F60008"/>
    <w:rsid w:val="00F61019"/>
    <w:rsid w:val="00F6122A"/>
    <w:rsid w:val="00F6259D"/>
    <w:rsid w:val="00F62FF5"/>
    <w:rsid w:val="00F63643"/>
    <w:rsid w:val="00F639EC"/>
    <w:rsid w:val="00F649C2"/>
    <w:rsid w:val="00F65E2A"/>
    <w:rsid w:val="00F65EE8"/>
    <w:rsid w:val="00F661BE"/>
    <w:rsid w:val="00F66649"/>
    <w:rsid w:val="00F66B54"/>
    <w:rsid w:val="00F67E4F"/>
    <w:rsid w:val="00F702ED"/>
    <w:rsid w:val="00F70682"/>
    <w:rsid w:val="00F70DC4"/>
    <w:rsid w:val="00F71473"/>
    <w:rsid w:val="00F7153E"/>
    <w:rsid w:val="00F720A3"/>
    <w:rsid w:val="00F74180"/>
    <w:rsid w:val="00F75236"/>
    <w:rsid w:val="00F753F6"/>
    <w:rsid w:val="00F757E0"/>
    <w:rsid w:val="00F75AE2"/>
    <w:rsid w:val="00F75B3E"/>
    <w:rsid w:val="00F75CC7"/>
    <w:rsid w:val="00F75D52"/>
    <w:rsid w:val="00F7618C"/>
    <w:rsid w:val="00F76987"/>
    <w:rsid w:val="00F76E59"/>
    <w:rsid w:val="00F774FE"/>
    <w:rsid w:val="00F77705"/>
    <w:rsid w:val="00F7771A"/>
    <w:rsid w:val="00F77FA7"/>
    <w:rsid w:val="00F800DB"/>
    <w:rsid w:val="00F809C7"/>
    <w:rsid w:val="00F809F0"/>
    <w:rsid w:val="00F810C4"/>
    <w:rsid w:val="00F812DB"/>
    <w:rsid w:val="00F828EB"/>
    <w:rsid w:val="00F82A37"/>
    <w:rsid w:val="00F830E3"/>
    <w:rsid w:val="00F83E8D"/>
    <w:rsid w:val="00F84280"/>
    <w:rsid w:val="00F842F6"/>
    <w:rsid w:val="00F84714"/>
    <w:rsid w:val="00F8475D"/>
    <w:rsid w:val="00F84ED2"/>
    <w:rsid w:val="00F85000"/>
    <w:rsid w:val="00F851FA"/>
    <w:rsid w:val="00F85E4A"/>
    <w:rsid w:val="00F85ECC"/>
    <w:rsid w:val="00F86FB8"/>
    <w:rsid w:val="00F87199"/>
    <w:rsid w:val="00F87272"/>
    <w:rsid w:val="00F874D2"/>
    <w:rsid w:val="00F920B8"/>
    <w:rsid w:val="00F928F3"/>
    <w:rsid w:val="00F9297F"/>
    <w:rsid w:val="00F92E65"/>
    <w:rsid w:val="00F93179"/>
    <w:rsid w:val="00F933A5"/>
    <w:rsid w:val="00F934FD"/>
    <w:rsid w:val="00F93854"/>
    <w:rsid w:val="00F93D3B"/>
    <w:rsid w:val="00F940E3"/>
    <w:rsid w:val="00F94A54"/>
    <w:rsid w:val="00F94AA5"/>
    <w:rsid w:val="00F95470"/>
    <w:rsid w:val="00F9581B"/>
    <w:rsid w:val="00F95A5A"/>
    <w:rsid w:val="00F95C21"/>
    <w:rsid w:val="00F95E28"/>
    <w:rsid w:val="00F9601B"/>
    <w:rsid w:val="00F964F7"/>
    <w:rsid w:val="00F9667C"/>
    <w:rsid w:val="00F968F0"/>
    <w:rsid w:val="00F96D56"/>
    <w:rsid w:val="00F96E6F"/>
    <w:rsid w:val="00F96F55"/>
    <w:rsid w:val="00F96FF2"/>
    <w:rsid w:val="00F97269"/>
    <w:rsid w:val="00F97939"/>
    <w:rsid w:val="00F97AEA"/>
    <w:rsid w:val="00F97D7F"/>
    <w:rsid w:val="00FA01F6"/>
    <w:rsid w:val="00FA03F8"/>
    <w:rsid w:val="00FA050E"/>
    <w:rsid w:val="00FA0738"/>
    <w:rsid w:val="00FA0B92"/>
    <w:rsid w:val="00FA1037"/>
    <w:rsid w:val="00FA11E4"/>
    <w:rsid w:val="00FA20FF"/>
    <w:rsid w:val="00FA2254"/>
    <w:rsid w:val="00FA2F09"/>
    <w:rsid w:val="00FA2F2E"/>
    <w:rsid w:val="00FA309B"/>
    <w:rsid w:val="00FA358C"/>
    <w:rsid w:val="00FA3A6C"/>
    <w:rsid w:val="00FA3C70"/>
    <w:rsid w:val="00FA4043"/>
    <w:rsid w:val="00FA4AA4"/>
    <w:rsid w:val="00FA4BD0"/>
    <w:rsid w:val="00FA5190"/>
    <w:rsid w:val="00FA5431"/>
    <w:rsid w:val="00FA5475"/>
    <w:rsid w:val="00FA561B"/>
    <w:rsid w:val="00FA56A8"/>
    <w:rsid w:val="00FA5771"/>
    <w:rsid w:val="00FA5B6B"/>
    <w:rsid w:val="00FA5F7A"/>
    <w:rsid w:val="00FA62A5"/>
    <w:rsid w:val="00FA67F8"/>
    <w:rsid w:val="00FA6C85"/>
    <w:rsid w:val="00FA7180"/>
    <w:rsid w:val="00FA784E"/>
    <w:rsid w:val="00FA7957"/>
    <w:rsid w:val="00FA7BBC"/>
    <w:rsid w:val="00FA7D9D"/>
    <w:rsid w:val="00FB0258"/>
    <w:rsid w:val="00FB07E6"/>
    <w:rsid w:val="00FB0A47"/>
    <w:rsid w:val="00FB0A5F"/>
    <w:rsid w:val="00FB0D3B"/>
    <w:rsid w:val="00FB0E82"/>
    <w:rsid w:val="00FB1468"/>
    <w:rsid w:val="00FB154C"/>
    <w:rsid w:val="00FB15E1"/>
    <w:rsid w:val="00FB1625"/>
    <w:rsid w:val="00FB167B"/>
    <w:rsid w:val="00FB1958"/>
    <w:rsid w:val="00FB1A9F"/>
    <w:rsid w:val="00FB1C44"/>
    <w:rsid w:val="00FB2231"/>
    <w:rsid w:val="00FB24F5"/>
    <w:rsid w:val="00FB2D10"/>
    <w:rsid w:val="00FB2E15"/>
    <w:rsid w:val="00FB2EB3"/>
    <w:rsid w:val="00FB344B"/>
    <w:rsid w:val="00FB34AE"/>
    <w:rsid w:val="00FB3811"/>
    <w:rsid w:val="00FB38F0"/>
    <w:rsid w:val="00FB39C6"/>
    <w:rsid w:val="00FB3A5A"/>
    <w:rsid w:val="00FB3BC4"/>
    <w:rsid w:val="00FB3C32"/>
    <w:rsid w:val="00FB4C0F"/>
    <w:rsid w:val="00FB4D19"/>
    <w:rsid w:val="00FB4DA9"/>
    <w:rsid w:val="00FB5C2B"/>
    <w:rsid w:val="00FB67C6"/>
    <w:rsid w:val="00FB6838"/>
    <w:rsid w:val="00FB69F3"/>
    <w:rsid w:val="00FB6E28"/>
    <w:rsid w:val="00FB72B6"/>
    <w:rsid w:val="00FB7B5A"/>
    <w:rsid w:val="00FB7C23"/>
    <w:rsid w:val="00FB7C2C"/>
    <w:rsid w:val="00FB7D2B"/>
    <w:rsid w:val="00FC09B2"/>
    <w:rsid w:val="00FC0C32"/>
    <w:rsid w:val="00FC1119"/>
    <w:rsid w:val="00FC11BD"/>
    <w:rsid w:val="00FC15A2"/>
    <w:rsid w:val="00FC18CD"/>
    <w:rsid w:val="00FC1B22"/>
    <w:rsid w:val="00FC2466"/>
    <w:rsid w:val="00FC2B20"/>
    <w:rsid w:val="00FC31E6"/>
    <w:rsid w:val="00FC3309"/>
    <w:rsid w:val="00FC3AA2"/>
    <w:rsid w:val="00FC3FC7"/>
    <w:rsid w:val="00FC4077"/>
    <w:rsid w:val="00FC4260"/>
    <w:rsid w:val="00FC44F7"/>
    <w:rsid w:val="00FC4595"/>
    <w:rsid w:val="00FC4EB2"/>
    <w:rsid w:val="00FC5245"/>
    <w:rsid w:val="00FC528F"/>
    <w:rsid w:val="00FC5622"/>
    <w:rsid w:val="00FC5EF1"/>
    <w:rsid w:val="00FC6333"/>
    <w:rsid w:val="00FC6A68"/>
    <w:rsid w:val="00FC6AD6"/>
    <w:rsid w:val="00FC7237"/>
    <w:rsid w:val="00FC7A70"/>
    <w:rsid w:val="00FC7C30"/>
    <w:rsid w:val="00FC7E5D"/>
    <w:rsid w:val="00FC7FDB"/>
    <w:rsid w:val="00FD02B3"/>
    <w:rsid w:val="00FD037A"/>
    <w:rsid w:val="00FD0A99"/>
    <w:rsid w:val="00FD0F82"/>
    <w:rsid w:val="00FD1266"/>
    <w:rsid w:val="00FD15A9"/>
    <w:rsid w:val="00FD1A35"/>
    <w:rsid w:val="00FD1DE6"/>
    <w:rsid w:val="00FD1FF9"/>
    <w:rsid w:val="00FD4086"/>
    <w:rsid w:val="00FD409F"/>
    <w:rsid w:val="00FD4BDD"/>
    <w:rsid w:val="00FD4FBA"/>
    <w:rsid w:val="00FD51CC"/>
    <w:rsid w:val="00FD5438"/>
    <w:rsid w:val="00FD5C72"/>
    <w:rsid w:val="00FD5FE9"/>
    <w:rsid w:val="00FD6136"/>
    <w:rsid w:val="00FD6835"/>
    <w:rsid w:val="00FD68B1"/>
    <w:rsid w:val="00FD6A29"/>
    <w:rsid w:val="00FD6FD9"/>
    <w:rsid w:val="00FD78BF"/>
    <w:rsid w:val="00FE0A89"/>
    <w:rsid w:val="00FE10C2"/>
    <w:rsid w:val="00FE1167"/>
    <w:rsid w:val="00FE18F1"/>
    <w:rsid w:val="00FE1995"/>
    <w:rsid w:val="00FE21FB"/>
    <w:rsid w:val="00FE2423"/>
    <w:rsid w:val="00FE396D"/>
    <w:rsid w:val="00FE3C05"/>
    <w:rsid w:val="00FE3DA2"/>
    <w:rsid w:val="00FE4115"/>
    <w:rsid w:val="00FE442F"/>
    <w:rsid w:val="00FE450F"/>
    <w:rsid w:val="00FE4639"/>
    <w:rsid w:val="00FE4E14"/>
    <w:rsid w:val="00FE50BA"/>
    <w:rsid w:val="00FE50C1"/>
    <w:rsid w:val="00FE5747"/>
    <w:rsid w:val="00FE57AB"/>
    <w:rsid w:val="00FE59C5"/>
    <w:rsid w:val="00FE5A9A"/>
    <w:rsid w:val="00FE62C1"/>
    <w:rsid w:val="00FE66DF"/>
    <w:rsid w:val="00FE7524"/>
    <w:rsid w:val="00FE76C5"/>
    <w:rsid w:val="00FF04B8"/>
    <w:rsid w:val="00FF04FB"/>
    <w:rsid w:val="00FF0C89"/>
    <w:rsid w:val="00FF0DD6"/>
    <w:rsid w:val="00FF107E"/>
    <w:rsid w:val="00FF131D"/>
    <w:rsid w:val="00FF13B1"/>
    <w:rsid w:val="00FF13C2"/>
    <w:rsid w:val="00FF1D55"/>
    <w:rsid w:val="00FF1F45"/>
    <w:rsid w:val="00FF2E87"/>
    <w:rsid w:val="00FF327E"/>
    <w:rsid w:val="00FF33F7"/>
    <w:rsid w:val="00FF3662"/>
    <w:rsid w:val="00FF402E"/>
    <w:rsid w:val="00FF40BD"/>
    <w:rsid w:val="00FF4228"/>
    <w:rsid w:val="00FF43A2"/>
    <w:rsid w:val="00FF43FC"/>
    <w:rsid w:val="00FF4C98"/>
    <w:rsid w:val="00FF4E46"/>
    <w:rsid w:val="00FF575C"/>
    <w:rsid w:val="00FF58B6"/>
    <w:rsid w:val="00FF5B29"/>
    <w:rsid w:val="00FF6A2B"/>
    <w:rsid w:val="00FF6C49"/>
    <w:rsid w:val="00FF6C4F"/>
    <w:rsid w:val="00FF6E1A"/>
    <w:rsid w:val="00FF73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A883D"/>
  <w15:chartTrackingRefBased/>
  <w15:docId w15:val="{BC032618-88CD-4D5B-B147-2E381AD1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07E7"/>
    <w:pPr>
      <w:spacing w:after="0" w:line="240" w:lineRule="auto"/>
      <w:jc w:val="both"/>
    </w:pPr>
    <w:rPr>
      <w:rFonts w:ascii="Times New Roman" w:hAnsi="Times New Roman"/>
    </w:rPr>
  </w:style>
  <w:style w:type="paragraph" w:styleId="Titolo1">
    <w:name w:val="heading 1"/>
    <w:basedOn w:val="Normale"/>
    <w:next w:val="Normale"/>
    <w:link w:val="Titolo1Carattere"/>
    <w:uiPriority w:val="9"/>
    <w:qFormat/>
    <w:rsid w:val="006A0548"/>
    <w:pPr>
      <w:keepNext/>
      <w:keepLines/>
      <w:spacing w:before="240" w:after="240" w:line="257" w:lineRule="auto"/>
      <w:jc w:val="center"/>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B07C41"/>
    <w:pPr>
      <w:widowControl w:val="0"/>
      <w:spacing w:before="360"/>
      <w:jc w:val="center"/>
      <w:outlineLvl w:val="1"/>
    </w:pPr>
    <w:rPr>
      <w:rFonts w:eastAsia="Times New Roman" w:cs="Times New Roman"/>
      <w:b/>
      <w:bCs/>
      <w:iCs/>
      <w:szCs w:val="28"/>
      <w:lang w:eastAsia="it-IT"/>
    </w:rPr>
  </w:style>
  <w:style w:type="paragraph" w:styleId="Titolo3">
    <w:name w:val="heading 3"/>
    <w:basedOn w:val="Normale"/>
    <w:next w:val="Normale"/>
    <w:link w:val="Titolo3Carattere"/>
    <w:uiPriority w:val="9"/>
    <w:unhideWhenUsed/>
    <w:qFormat/>
    <w:rsid w:val="00E305D6"/>
    <w:pPr>
      <w:keepNext/>
      <w:keepLines/>
      <w:spacing w:before="360" w:after="240" w:line="257" w:lineRule="auto"/>
      <w:jc w:val="center"/>
      <w:outlineLvl w:val="2"/>
    </w:pPr>
    <w:rPr>
      <w:rFonts w:eastAsiaTheme="majorEastAsia" w:cstheme="majorBidi"/>
      <w:b/>
      <w:i/>
      <w:szCs w:val="24"/>
    </w:rPr>
  </w:style>
  <w:style w:type="paragraph" w:styleId="Titolo4">
    <w:name w:val="heading 4"/>
    <w:basedOn w:val="Normale"/>
    <w:next w:val="Normale"/>
    <w:link w:val="Titolo4Carattere"/>
    <w:uiPriority w:val="9"/>
    <w:unhideWhenUsed/>
    <w:qFormat/>
    <w:rsid w:val="00CA26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0548"/>
    <w:rPr>
      <w:rFonts w:ascii="Times New Roman" w:eastAsiaTheme="majorEastAsia" w:hAnsi="Times New Roman" w:cstheme="majorBidi"/>
      <w:b/>
      <w:sz w:val="24"/>
      <w:szCs w:val="32"/>
    </w:rPr>
  </w:style>
  <w:style w:type="character" w:customStyle="1" w:styleId="Titolo2Carattere">
    <w:name w:val="Titolo 2 Carattere"/>
    <w:basedOn w:val="Carpredefinitoparagrafo"/>
    <w:link w:val="Titolo2"/>
    <w:uiPriority w:val="9"/>
    <w:rsid w:val="00B07C41"/>
    <w:rPr>
      <w:rFonts w:ascii="Times New Roman" w:eastAsia="Times New Roman" w:hAnsi="Times New Roman" w:cs="Times New Roman"/>
      <w:b/>
      <w:bCs/>
      <w:iCs/>
      <w:szCs w:val="28"/>
      <w:lang w:eastAsia="it-IT"/>
    </w:rPr>
  </w:style>
  <w:style w:type="character" w:customStyle="1" w:styleId="Titolo3Carattere">
    <w:name w:val="Titolo 3 Carattere"/>
    <w:basedOn w:val="Carpredefinitoparagrafo"/>
    <w:link w:val="Titolo3"/>
    <w:uiPriority w:val="9"/>
    <w:rsid w:val="00E305D6"/>
    <w:rPr>
      <w:rFonts w:ascii="Times New Roman" w:eastAsiaTheme="majorEastAsia" w:hAnsi="Times New Roman" w:cstheme="majorBidi"/>
      <w:b/>
      <w:i/>
      <w:szCs w:val="24"/>
    </w:rPr>
  </w:style>
  <w:style w:type="table" w:customStyle="1" w:styleId="Grigliatabella1">
    <w:name w:val="Griglia tabella1"/>
    <w:basedOn w:val="Tabellanormale"/>
    <w:rsid w:val="00DF03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64AF8"/>
    <w:pPr>
      <w:tabs>
        <w:tab w:val="center" w:pos="4819"/>
        <w:tab w:val="right" w:pos="9638"/>
      </w:tabs>
    </w:pPr>
  </w:style>
  <w:style w:type="character" w:customStyle="1" w:styleId="IntestazioneCarattere">
    <w:name w:val="Intestazione Carattere"/>
    <w:basedOn w:val="Carpredefinitoparagrafo"/>
    <w:link w:val="Intestazione"/>
    <w:uiPriority w:val="99"/>
    <w:rsid w:val="00364AF8"/>
    <w:rPr>
      <w:rFonts w:ascii="Times New Roman" w:hAnsi="Times New Roman"/>
    </w:rPr>
  </w:style>
  <w:style w:type="paragraph" w:styleId="Pidipagina">
    <w:name w:val="footer"/>
    <w:basedOn w:val="Normale"/>
    <w:link w:val="PidipaginaCarattere"/>
    <w:uiPriority w:val="99"/>
    <w:unhideWhenUsed/>
    <w:rsid w:val="00364AF8"/>
    <w:pPr>
      <w:tabs>
        <w:tab w:val="center" w:pos="4819"/>
        <w:tab w:val="right" w:pos="9638"/>
      </w:tabs>
    </w:pPr>
  </w:style>
  <w:style w:type="character" w:customStyle="1" w:styleId="PidipaginaCarattere">
    <w:name w:val="Piè di pagina Carattere"/>
    <w:basedOn w:val="Carpredefinitoparagrafo"/>
    <w:link w:val="Pidipagina"/>
    <w:uiPriority w:val="99"/>
    <w:rsid w:val="00364AF8"/>
    <w:rPr>
      <w:rFonts w:ascii="Times New Roman" w:hAnsi="Times New Roman"/>
    </w:rPr>
  </w:style>
  <w:style w:type="paragraph" w:styleId="Titolosommario">
    <w:name w:val="TOC Heading"/>
    <w:basedOn w:val="Titolo1"/>
    <w:next w:val="Normale"/>
    <w:uiPriority w:val="39"/>
    <w:unhideWhenUsed/>
    <w:qFormat/>
    <w:rsid w:val="00C041D1"/>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C041D1"/>
    <w:pPr>
      <w:spacing w:before="120" w:after="120"/>
      <w:jc w:val="left"/>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B07C41"/>
    <w:pPr>
      <w:ind w:left="220"/>
      <w:jc w:val="left"/>
    </w:pPr>
    <w:rPr>
      <w:rFonts w:asciiTheme="minorHAnsi" w:hAnsiTheme="minorHAnsi" w:cstheme="minorHAnsi"/>
      <w:b/>
      <w:smallCaps/>
      <w:szCs w:val="20"/>
    </w:rPr>
  </w:style>
  <w:style w:type="character" w:styleId="Collegamentoipertestuale">
    <w:name w:val="Hyperlink"/>
    <w:basedOn w:val="Carpredefinitoparagrafo"/>
    <w:uiPriority w:val="99"/>
    <w:unhideWhenUsed/>
    <w:rsid w:val="00C041D1"/>
    <w:rPr>
      <w:color w:val="0563C1" w:themeColor="hyperlink"/>
      <w:u w:val="single"/>
    </w:rPr>
  </w:style>
  <w:style w:type="paragraph" w:styleId="Sommario3">
    <w:name w:val="toc 3"/>
    <w:basedOn w:val="Normale"/>
    <w:next w:val="Normale"/>
    <w:autoRedefine/>
    <w:uiPriority w:val="39"/>
    <w:unhideWhenUsed/>
    <w:rsid w:val="00B07C41"/>
    <w:pPr>
      <w:ind w:left="440"/>
      <w:jc w:val="left"/>
    </w:pPr>
    <w:rPr>
      <w:rFonts w:asciiTheme="minorHAnsi" w:hAnsiTheme="minorHAnsi" w:cstheme="minorHAnsi"/>
      <w:iCs/>
      <w:smallCaps/>
      <w:sz w:val="20"/>
      <w:szCs w:val="20"/>
    </w:rPr>
  </w:style>
  <w:style w:type="paragraph" w:styleId="Sommario4">
    <w:name w:val="toc 4"/>
    <w:basedOn w:val="Normale"/>
    <w:next w:val="Normale"/>
    <w:autoRedefine/>
    <w:uiPriority w:val="39"/>
    <w:unhideWhenUsed/>
    <w:rsid w:val="00C041D1"/>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C041D1"/>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C041D1"/>
    <w:pPr>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C041D1"/>
    <w:pPr>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C041D1"/>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C041D1"/>
    <w:pPr>
      <w:ind w:left="1760"/>
      <w:jc w:val="left"/>
    </w:pPr>
    <w:rPr>
      <w:rFonts w:asciiTheme="minorHAnsi" w:hAnsiTheme="minorHAnsi" w:cstheme="minorHAnsi"/>
      <w:sz w:val="18"/>
      <w:szCs w:val="18"/>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E83F6C"/>
    <w:pPr>
      <w:spacing w:line="259" w:lineRule="auto"/>
      <w:ind w:left="720"/>
      <w:contextualSpacing/>
      <w:jc w:val="left"/>
    </w:pPr>
    <w:rPr>
      <w:rFonts w:asciiTheme="minorHAnsi" w:hAnsiTheme="minorHAnsi"/>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E83F6C"/>
  </w:style>
  <w:style w:type="paragraph" w:customStyle="1" w:styleId="Default">
    <w:name w:val="Default"/>
    <w:rsid w:val="003206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neltesto">
    <w:name w:val="link_nel_testo"/>
    <w:basedOn w:val="Carpredefinitoparagrafo"/>
    <w:rsid w:val="00FE1167"/>
    <w:rPr>
      <w:i/>
      <w:iCs/>
    </w:rPr>
  </w:style>
  <w:style w:type="paragraph" w:styleId="PreformattatoHTML">
    <w:name w:val="HTML Preformatted"/>
    <w:basedOn w:val="Normale"/>
    <w:link w:val="PreformattatoHTMLCarattere"/>
    <w:uiPriority w:val="99"/>
    <w:unhideWhenUsed/>
    <w:rsid w:val="008E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E12F4"/>
    <w:rPr>
      <w:rFonts w:ascii="Courier New" w:hAnsi="Courier New" w:cs="Courier New"/>
      <w:sz w:val="20"/>
      <w:szCs w:val="20"/>
      <w:lang w:eastAsia="it-IT"/>
    </w:rPr>
  </w:style>
  <w:style w:type="paragraph" w:styleId="Rientrocorpodeltesto2">
    <w:name w:val="Body Text Indent 2"/>
    <w:basedOn w:val="Normale"/>
    <w:link w:val="Rientrocorpodeltesto2Carattere"/>
    <w:rsid w:val="00207519"/>
    <w:pPr>
      <w:spacing w:after="200" w:line="276" w:lineRule="auto"/>
      <w:ind w:left="1136" w:hanging="1136"/>
    </w:pPr>
    <w:rPr>
      <w:rFonts w:ascii="Calibri" w:eastAsia="Calibri" w:hAnsi="Calibri" w:cs="Times New Roman"/>
      <w:lang w:bidi="he-IL"/>
    </w:rPr>
  </w:style>
  <w:style w:type="character" w:customStyle="1" w:styleId="Rientrocorpodeltesto2Carattere">
    <w:name w:val="Rientro corpo del testo 2 Carattere"/>
    <w:basedOn w:val="Carpredefinitoparagrafo"/>
    <w:link w:val="Rientrocorpodeltesto2"/>
    <w:rsid w:val="00207519"/>
    <w:rPr>
      <w:rFonts w:ascii="Calibri" w:eastAsia="Calibri" w:hAnsi="Calibri" w:cs="Times New Roman"/>
      <w:lang w:bidi="he-IL"/>
    </w:rPr>
  </w:style>
  <w:style w:type="paragraph" w:styleId="Testonormale">
    <w:name w:val="Plain Text"/>
    <w:basedOn w:val="Normale"/>
    <w:link w:val="TestonormaleCarattere"/>
    <w:uiPriority w:val="99"/>
    <w:unhideWhenUsed/>
    <w:rsid w:val="00914E8B"/>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914E8B"/>
    <w:rPr>
      <w:rFonts w:ascii="Courier New" w:eastAsia="Times New Roman" w:hAnsi="Courier New" w:cs="Times New Roman"/>
      <w:sz w:val="20"/>
      <w:szCs w:val="20"/>
      <w:lang w:val="x-none" w:eastAsia="x-none"/>
    </w:rPr>
  </w:style>
  <w:style w:type="paragraph" w:customStyle="1" w:styleId="provvr0">
    <w:name w:val="provv_r0"/>
    <w:basedOn w:val="Normale"/>
    <w:rsid w:val="00E3629D"/>
    <w:pPr>
      <w:spacing w:before="100" w:beforeAutospacing="1" w:after="100" w:afterAutospacing="1"/>
    </w:pPr>
    <w:rPr>
      <w:rFonts w:eastAsia="Times New Roman" w:cs="Times New Roman"/>
      <w:sz w:val="24"/>
      <w:szCs w:val="24"/>
      <w:lang w:eastAsia="it-IT"/>
    </w:rPr>
  </w:style>
  <w:style w:type="paragraph" w:styleId="Testonotaapidipagina">
    <w:name w:val="footnote text"/>
    <w:basedOn w:val="Normale"/>
    <w:link w:val="TestonotaapidipaginaCarattere"/>
    <w:uiPriority w:val="99"/>
    <w:unhideWhenUsed/>
    <w:rsid w:val="00AC3D46"/>
    <w:pPr>
      <w:jc w:val="left"/>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AC3D46"/>
    <w:rPr>
      <w:sz w:val="20"/>
      <w:szCs w:val="20"/>
    </w:rPr>
  </w:style>
  <w:style w:type="character" w:styleId="Rimandonotaapidipagina">
    <w:name w:val="footnote reference"/>
    <w:basedOn w:val="Carpredefinitoparagrafo"/>
    <w:uiPriority w:val="99"/>
    <w:unhideWhenUsed/>
    <w:rsid w:val="00AC3D46"/>
    <w:rPr>
      <w:vertAlign w:val="superscript"/>
    </w:rPr>
  </w:style>
  <w:style w:type="character" w:customStyle="1" w:styleId="s1">
    <w:name w:val="s1"/>
    <w:basedOn w:val="Carpredefinitoparagrafo"/>
    <w:rsid w:val="00D44945"/>
  </w:style>
  <w:style w:type="character" w:customStyle="1" w:styleId="Nessuno">
    <w:name w:val="Nessuno"/>
    <w:rsid w:val="00200516"/>
    <w:rPr>
      <w:lang w:val="it-IT"/>
    </w:rPr>
  </w:style>
  <w:style w:type="paragraph" w:customStyle="1" w:styleId="provvr01">
    <w:name w:val="provv_r01"/>
    <w:basedOn w:val="Normale"/>
    <w:rsid w:val="00F54831"/>
    <w:pPr>
      <w:spacing w:before="100" w:beforeAutospacing="1" w:after="45"/>
    </w:pPr>
    <w:rPr>
      <w:rFonts w:eastAsia="Times New Roman" w:cs="Times New Roman"/>
      <w:sz w:val="24"/>
      <w:szCs w:val="24"/>
      <w:lang w:eastAsia="it-IT"/>
    </w:rPr>
  </w:style>
  <w:style w:type="character" w:styleId="Enfasicorsivo">
    <w:name w:val="Emphasis"/>
    <w:basedOn w:val="Carpredefinitoparagrafo"/>
    <w:uiPriority w:val="20"/>
    <w:qFormat/>
    <w:rsid w:val="00127976"/>
    <w:rPr>
      <w:i/>
      <w:iCs/>
    </w:rPr>
  </w:style>
  <w:style w:type="paragraph" w:styleId="Corpotesto">
    <w:name w:val="Body Text"/>
    <w:basedOn w:val="Normale"/>
    <w:link w:val="CorpotestoCarattere"/>
    <w:uiPriority w:val="1"/>
    <w:unhideWhenUsed/>
    <w:qFormat/>
    <w:rsid w:val="00DF1F21"/>
    <w:pPr>
      <w:spacing w:after="120"/>
    </w:pPr>
  </w:style>
  <w:style w:type="character" w:customStyle="1" w:styleId="CorpotestoCarattere">
    <w:name w:val="Corpo testo Carattere"/>
    <w:basedOn w:val="Carpredefinitoparagrafo"/>
    <w:link w:val="Corpotesto"/>
    <w:uiPriority w:val="99"/>
    <w:rsid w:val="00DF1F21"/>
    <w:rPr>
      <w:rFonts w:ascii="Times New Roman" w:hAnsi="Times New Roman"/>
    </w:rPr>
  </w:style>
  <w:style w:type="character" w:styleId="Rimandocommento">
    <w:name w:val="annotation reference"/>
    <w:basedOn w:val="Carpredefinitoparagrafo"/>
    <w:uiPriority w:val="99"/>
    <w:semiHidden/>
    <w:unhideWhenUsed/>
    <w:rsid w:val="0008706C"/>
    <w:rPr>
      <w:sz w:val="16"/>
      <w:szCs w:val="16"/>
    </w:rPr>
  </w:style>
  <w:style w:type="paragraph" w:styleId="Testocommento">
    <w:name w:val="annotation text"/>
    <w:basedOn w:val="Normale"/>
    <w:link w:val="TestocommentoCarattere"/>
    <w:uiPriority w:val="99"/>
    <w:unhideWhenUsed/>
    <w:rsid w:val="0008706C"/>
    <w:pPr>
      <w:spacing w:after="200"/>
      <w:jc w:val="left"/>
    </w:pPr>
    <w:rPr>
      <w:rFonts w:asciiTheme="minorHAnsi" w:hAnsiTheme="minorHAnsi"/>
      <w:sz w:val="20"/>
      <w:szCs w:val="20"/>
    </w:rPr>
  </w:style>
  <w:style w:type="character" w:customStyle="1" w:styleId="TestocommentoCarattere">
    <w:name w:val="Testo commento Carattere"/>
    <w:basedOn w:val="Carpredefinitoparagrafo"/>
    <w:link w:val="Testocommento"/>
    <w:uiPriority w:val="99"/>
    <w:rsid w:val="0008706C"/>
    <w:rPr>
      <w:sz w:val="20"/>
      <w:szCs w:val="20"/>
    </w:rPr>
  </w:style>
  <w:style w:type="paragraph" w:styleId="NormaleWeb">
    <w:name w:val="Normal (Web)"/>
    <w:basedOn w:val="Normale"/>
    <w:uiPriority w:val="99"/>
    <w:unhideWhenUsed/>
    <w:rsid w:val="00236519"/>
    <w:pPr>
      <w:spacing w:before="100" w:beforeAutospacing="1" w:after="100" w:afterAutospacing="1"/>
      <w:jc w:val="left"/>
    </w:pPr>
    <w:rPr>
      <w:rFonts w:eastAsia="Times New Roman" w:cs="Times New Roman"/>
      <w:sz w:val="24"/>
      <w:szCs w:val="24"/>
      <w:lang w:eastAsia="it-IT"/>
    </w:rPr>
  </w:style>
  <w:style w:type="paragraph" w:styleId="Testofumetto">
    <w:name w:val="Balloon Text"/>
    <w:basedOn w:val="Normale"/>
    <w:link w:val="TestofumettoCarattere"/>
    <w:uiPriority w:val="99"/>
    <w:semiHidden/>
    <w:unhideWhenUsed/>
    <w:rsid w:val="00882B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2B9B"/>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103333"/>
    <w:rPr>
      <w:color w:val="605E5C"/>
      <w:shd w:val="clear" w:color="auto" w:fill="E1DFDD"/>
    </w:rPr>
  </w:style>
  <w:style w:type="character" w:customStyle="1" w:styleId="provvnumart">
    <w:name w:val="provv_numart"/>
    <w:basedOn w:val="Carpredefinitoparagrafo"/>
    <w:rsid w:val="008F6A53"/>
    <w:rPr>
      <w:b/>
      <w:bCs/>
    </w:rPr>
  </w:style>
  <w:style w:type="table" w:styleId="Grigliatabella">
    <w:name w:val="Table Grid"/>
    <w:basedOn w:val="Tabellanormale"/>
    <w:uiPriority w:val="39"/>
    <w:rsid w:val="008F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antimarker">
    <w:name w:val="anchor_anti_marker"/>
    <w:basedOn w:val="Carpredefinitoparagrafo"/>
    <w:rsid w:val="008F6A53"/>
    <w:rPr>
      <w:color w:val="000000"/>
    </w:rPr>
  </w:style>
  <w:style w:type="paragraph" w:customStyle="1" w:styleId="testocenter2">
    <w:name w:val="testocenter2"/>
    <w:basedOn w:val="Normale"/>
    <w:rsid w:val="009E47F1"/>
    <w:pPr>
      <w:spacing w:before="75" w:after="180"/>
      <w:ind w:firstLine="240"/>
      <w:jc w:val="center"/>
    </w:pPr>
    <w:rPr>
      <w:rFonts w:ascii="Tahoma" w:eastAsia="Times New Roman" w:hAnsi="Tahoma" w:cs="Tahoma"/>
      <w:color w:val="000000"/>
      <w:sz w:val="24"/>
      <w:szCs w:val="24"/>
      <w:lang w:eastAsia="it-IT"/>
    </w:rPr>
  </w:style>
  <w:style w:type="character" w:styleId="Enfasigrassetto">
    <w:name w:val="Strong"/>
    <w:basedOn w:val="Carpredefinitoparagrafo"/>
    <w:uiPriority w:val="22"/>
    <w:qFormat/>
    <w:rsid w:val="009E47F1"/>
    <w:rPr>
      <w:b/>
      <w:bCs/>
    </w:rPr>
  </w:style>
  <w:style w:type="paragraph" w:styleId="Soggettocommento">
    <w:name w:val="annotation subject"/>
    <w:basedOn w:val="Testocommento"/>
    <w:next w:val="Testocommento"/>
    <w:link w:val="SoggettocommentoCarattere"/>
    <w:uiPriority w:val="99"/>
    <w:semiHidden/>
    <w:unhideWhenUsed/>
    <w:rsid w:val="009E47F1"/>
    <w:rPr>
      <w:rFonts w:eastAsiaTheme="minorEastAsia"/>
      <w:b/>
      <w:bCs/>
      <w:lang w:eastAsia="it-IT"/>
    </w:rPr>
  </w:style>
  <w:style w:type="character" w:customStyle="1" w:styleId="SoggettocommentoCarattere">
    <w:name w:val="Soggetto commento Carattere"/>
    <w:basedOn w:val="TestocommentoCarattere"/>
    <w:link w:val="Soggettocommento"/>
    <w:uiPriority w:val="99"/>
    <w:semiHidden/>
    <w:rsid w:val="009E47F1"/>
    <w:rPr>
      <w:rFonts w:eastAsiaTheme="minorEastAsia"/>
      <w:b/>
      <w:bCs/>
      <w:sz w:val="20"/>
      <w:szCs w:val="20"/>
      <w:lang w:eastAsia="it-IT"/>
    </w:rPr>
  </w:style>
  <w:style w:type="character" w:customStyle="1" w:styleId="apple-style-span">
    <w:name w:val="apple-style-span"/>
    <w:basedOn w:val="Carpredefinitoparagrafo"/>
    <w:rsid w:val="009E47F1"/>
  </w:style>
  <w:style w:type="character" w:customStyle="1" w:styleId="provvnumcomma">
    <w:name w:val="provv_numcomma"/>
    <w:basedOn w:val="Carpredefinitoparagrafo"/>
    <w:rsid w:val="009E47F1"/>
  </w:style>
  <w:style w:type="paragraph" w:styleId="Nessunaspaziatura">
    <w:name w:val="No Spacing"/>
    <w:uiPriority w:val="1"/>
    <w:qFormat/>
    <w:rsid w:val="00287906"/>
    <w:pPr>
      <w:spacing w:after="0" w:line="240" w:lineRule="auto"/>
    </w:pPr>
  </w:style>
  <w:style w:type="paragraph" w:customStyle="1" w:styleId="rgsnomefirma">
    <w:name w:val="rgsnomefirma"/>
    <w:basedOn w:val="Normale"/>
    <w:rsid w:val="005B3ED8"/>
    <w:pPr>
      <w:spacing w:line="360" w:lineRule="auto"/>
      <w:ind w:right="900"/>
      <w:jc w:val="right"/>
    </w:pPr>
    <w:rPr>
      <w:rFonts w:cs="Times New Roman"/>
      <w:sz w:val="24"/>
      <w:szCs w:val="24"/>
      <w:lang w:eastAsia="it-IT"/>
    </w:rPr>
  </w:style>
  <w:style w:type="paragraph" w:customStyle="1" w:styleId="rgscorpodeltesto">
    <w:name w:val="rgscorpodeltesto"/>
    <w:basedOn w:val="Normale"/>
    <w:uiPriority w:val="99"/>
    <w:semiHidden/>
    <w:rsid w:val="00801B70"/>
    <w:pPr>
      <w:spacing w:after="120" w:line="360" w:lineRule="auto"/>
      <w:ind w:firstLine="799"/>
    </w:pPr>
    <w:rPr>
      <w:rFonts w:cs="Times New Roman"/>
      <w:sz w:val="24"/>
      <w:szCs w:val="24"/>
      <w:lang w:eastAsia="it-IT"/>
    </w:rPr>
  </w:style>
  <w:style w:type="paragraph" w:customStyle="1" w:styleId="p1">
    <w:name w:val="p1"/>
    <w:basedOn w:val="Normale"/>
    <w:rsid w:val="00241449"/>
    <w:pPr>
      <w:jc w:val="left"/>
    </w:pPr>
    <w:rPr>
      <w:rFonts w:cs="Times New Roman"/>
      <w:sz w:val="24"/>
      <w:szCs w:val="24"/>
      <w:lang w:eastAsia="it-IT"/>
    </w:rPr>
  </w:style>
  <w:style w:type="character" w:customStyle="1" w:styleId="s2">
    <w:name w:val="s2"/>
    <w:basedOn w:val="Carpredefinitoparagrafo"/>
    <w:rsid w:val="00241449"/>
  </w:style>
  <w:style w:type="character" w:customStyle="1" w:styleId="s3">
    <w:name w:val="s3"/>
    <w:basedOn w:val="Carpredefinitoparagrafo"/>
    <w:rsid w:val="00241449"/>
  </w:style>
  <w:style w:type="paragraph" w:customStyle="1" w:styleId="s4">
    <w:name w:val="s4"/>
    <w:basedOn w:val="Normale"/>
    <w:rsid w:val="00F24692"/>
    <w:pPr>
      <w:spacing w:before="100" w:beforeAutospacing="1" w:after="100" w:afterAutospacing="1"/>
      <w:jc w:val="left"/>
    </w:pPr>
    <w:rPr>
      <w:rFonts w:cs="Times New Roman"/>
      <w:sz w:val="24"/>
      <w:szCs w:val="24"/>
      <w:lang w:eastAsia="it-IT"/>
    </w:rPr>
  </w:style>
  <w:style w:type="paragraph" w:customStyle="1" w:styleId="Comma">
    <w:name w:val="Comma"/>
    <w:basedOn w:val="Normale"/>
    <w:rsid w:val="00A92409"/>
    <w:pPr>
      <w:spacing w:line="300" w:lineRule="auto"/>
    </w:pPr>
    <w:rPr>
      <w:rFonts w:ascii="Adobe Garamond Pro" w:eastAsiaTheme="minorEastAsia" w:hAnsi="Adobe Garamond Pro"/>
      <w:sz w:val="26"/>
      <w:lang w:eastAsia="ja-JP"/>
      <w14:ligatures w14:val="standardContextual"/>
      <w14:numForm w14:val="oldStyle"/>
      <w14:numSpacing w14:val="proportional"/>
      <w14:cntxtAlts/>
    </w:rPr>
  </w:style>
  <w:style w:type="paragraph" w:customStyle="1" w:styleId="StileTrebuchetMS10ptGiustificato">
    <w:name w:val="Stile Trebuchet MS 10 pt Giustificato"/>
    <w:basedOn w:val="Normale"/>
    <w:uiPriority w:val="99"/>
    <w:rsid w:val="00C20AB2"/>
    <w:rPr>
      <w:rFonts w:ascii="Trebuchet MS" w:eastAsia="Times New Roman" w:hAnsi="Trebuchet MS" w:cs="Trebuchet MS"/>
      <w:sz w:val="20"/>
      <w:szCs w:val="20"/>
      <w:lang w:eastAsia="it-IT"/>
    </w:rPr>
  </w:style>
  <w:style w:type="paragraph" w:styleId="Corpodeltesto3">
    <w:name w:val="Body Text 3"/>
    <w:basedOn w:val="Normale"/>
    <w:link w:val="Corpodeltesto3Carattere"/>
    <w:uiPriority w:val="99"/>
    <w:semiHidden/>
    <w:unhideWhenUsed/>
    <w:rsid w:val="0011248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12483"/>
    <w:rPr>
      <w:rFonts w:ascii="Times New Roman" w:hAnsi="Times New Roman"/>
      <w:sz w:val="16"/>
      <w:szCs w:val="16"/>
    </w:rPr>
  </w:style>
  <w:style w:type="paragraph" w:customStyle="1" w:styleId="xmsonormal">
    <w:name w:val="x_msonormal"/>
    <w:basedOn w:val="Normale"/>
    <w:uiPriority w:val="99"/>
    <w:rsid w:val="00D715B4"/>
    <w:pPr>
      <w:jc w:val="left"/>
    </w:pPr>
    <w:rPr>
      <w:rFonts w:ascii="Calibri" w:hAnsi="Calibri" w:cs="Calibri"/>
      <w:lang w:eastAsia="it-IT"/>
    </w:rPr>
  </w:style>
  <w:style w:type="paragraph" w:customStyle="1" w:styleId="xmsolistparagraph">
    <w:name w:val="x_msolistparagraph"/>
    <w:basedOn w:val="Normale"/>
    <w:uiPriority w:val="99"/>
    <w:rsid w:val="00D715B4"/>
    <w:pPr>
      <w:ind w:left="720"/>
      <w:jc w:val="left"/>
    </w:pPr>
    <w:rPr>
      <w:rFonts w:ascii="Calibri" w:hAnsi="Calibri" w:cs="Calibri"/>
      <w:lang w:eastAsia="it-IT"/>
    </w:rPr>
  </w:style>
  <w:style w:type="paragraph" w:customStyle="1" w:styleId="wordsection1">
    <w:name w:val="wordsection1"/>
    <w:basedOn w:val="Normale"/>
    <w:rsid w:val="001637BC"/>
    <w:pPr>
      <w:jc w:val="left"/>
    </w:pPr>
    <w:rPr>
      <w:rFonts w:cs="Times New Roman"/>
      <w:sz w:val="24"/>
      <w:szCs w:val="24"/>
      <w:lang w:eastAsia="it-IT"/>
    </w:rPr>
  </w:style>
  <w:style w:type="paragraph" w:customStyle="1" w:styleId="Nessunaspaziatura1">
    <w:name w:val="Nessuna spaziatura1"/>
    <w:basedOn w:val="Normale"/>
    <w:uiPriority w:val="1"/>
    <w:rsid w:val="000A21F2"/>
    <w:pPr>
      <w:jc w:val="left"/>
    </w:pPr>
    <w:rPr>
      <w:rFonts w:ascii="Calibri" w:hAnsi="Calibri" w:cs="Calibri"/>
      <w:lang w:eastAsia="it-IT"/>
    </w:rPr>
  </w:style>
  <w:style w:type="table" w:customStyle="1" w:styleId="TableGrid">
    <w:name w:val="TableGrid"/>
    <w:rsid w:val="0086579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ileimportato1">
    <w:name w:val="Stile importato 1"/>
    <w:rsid w:val="0086579C"/>
    <w:pPr>
      <w:numPr>
        <w:numId w:val="1"/>
      </w:numPr>
    </w:pPr>
  </w:style>
  <w:style w:type="paragraph" w:styleId="Revisione">
    <w:name w:val="Revision"/>
    <w:hidden/>
    <w:uiPriority w:val="99"/>
    <w:semiHidden/>
    <w:rsid w:val="0086579C"/>
    <w:pPr>
      <w:spacing w:after="0" w:line="240" w:lineRule="auto"/>
    </w:pPr>
  </w:style>
  <w:style w:type="character" w:customStyle="1" w:styleId="Stile8">
    <w:name w:val="Stile8"/>
    <w:basedOn w:val="Carpredefinitoparagrafo"/>
    <w:uiPriority w:val="1"/>
    <w:rsid w:val="00DC7B11"/>
    <w:rPr>
      <w:rFonts w:ascii="Times New Roman" w:hAnsi="Times New Roman"/>
      <w:spacing w:val="-10"/>
      <w:sz w:val="24"/>
    </w:rPr>
  </w:style>
  <w:style w:type="character" w:customStyle="1" w:styleId="provvrubrica">
    <w:name w:val="provv_rubrica"/>
    <w:basedOn w:val="Carpredefinitoparagrafo"/>
    <w:rsid w:val="00883DE7"/>
    <w:rPr>
      <w:i/>
      <w:iCs/>
    </w:rPr>
  </w:style>
  <w:style w:type="character" w:customStyle="1" w:styleId="estremosel3">
    <w:name w:val="estremosel3"/>
    <w:basedOn w:val="Carpredefinitoparagrafo"/>
    <w:rsid w:val="00883DE7"/>
  </w:style>
  <w:style w:type="paragraph" w:styleId="Titolo">
    <w:name w:val="Title"/>
    <w:basedOn w:val="Normale"/>
    <w:link w:val="TitoloCarattere"/>
    <w:rsid w:val="00883DE7"/>
    <w:pPr>
      <w:ind w:left="-426" w:right="-426"/>
      <w:jc w:val="center"/>
    </w:pPr>
    <w:rPr>
      <w:rFonts w:ascii="Arial" w:eastAsia="Times New Roman" w:hAnsi="Arial" w:cs="Times New Roman"/>
      <w:sz w:val="40"/>
      <w:szCs w:val="20"/>
      <w:lang w:val="x-none" w:eastAsia="it-IT"/>
    </w:rPr>
  </w:style>
  <w:style w:type="character" w:customStyle="1" w:styleId="TitoloCarattere">
    <w:name w:val="Titolo Carattere"/>
    <w:basedOn w:val="Carpredefinitoparagrafo"/>
    <w:link w:val="Titolo"/>
    <w:rsid w:val="00883DE7"/>
    <w:rPr>
      <w:rFonts w:ascii="Arial" w:eastAsia="Times New Roman" w:hAnsi="Arial" w:cs="Times New Roman"/>
      <w:sz w:val="40"/>
      <w:szCs w:val="20"/>
      <w:lang w:val="x-none" w:eastAsia="it-IT"/>
    </w:rPr>
  </w:style>
  <w:style w:type="paragraph" w:customStyle="1" w:styleId="default0">
    <w:name w:val="default"/>
    <w:basedOn w:val="Normale"/>
    <w:rsid w:val="009A6E26"/>
    <w:pPr>
      <w:autoSpaceDE w:val="0"/>
      <w:autoSpaceDN w:val="0"/>
      <w:jc w:val="left"/>
    </w:pPr>
    <w:rPr>
      <w:rFonts w:cs="Times New Roman"/>
      <w:color w:val="000000"/>
      <w:sz w:val="24"/>
      <w:szCs w:val="24"/>
      <w:lang w:eastAsia="it-IT"/>
    </w:rPr>
  </w:style>
  <w:style w:type="paragraph" w:customStyle="1" w:styleId="Style7">
    <w:name w:val="Style7"/>
    <w:basedOn w:val="Normale"/>
    <w:uiPriority w:val="99"/>
    <w:rsid w:val="00245BD1"/>
    <w:pPr>
      <w:widowControl w:val="0"/>
      <w:autoSpaceDE w:val="0"/>
      <w:autoSpaceDN w:val="0"/>
      <w:adjustRightInd w:val="0"/>
      <w:jc w:val="left"/>
    </w:pPr>
    <w:rPr>
      <w:rFonts w:ascii="Verdana" w:eastAsiaTheme="minorEastAsia" w:hAnsi="Verdana"/>
      <w:sz w:val="24"/>
      <w:szCs w:val="24"/>
      <w:lang w:eastAsia="it-IT"/>
    </w:rPr>
  </w:style>
  <w:style w:type="paragraph" w:customStyle="1" w:styleId="rgscorpodeltesto0">
    <w:name w:val="rgs_corpodeltesto"/>
    <w:rsid w:val="00AF76DD"/>
    <w:pPr>
      <w:spacing w:after="120" w:line="360" w:lineRule="auto"/>
      <w:ind w:firstLine="799"/>
      <w:jc w:val="both"/>
    </w:pPr>
    <w:rPr>
      <w:rFonts w:ascii="Times New Roman" w:eastAsia="Times New Roman" w:hAnsi="Times New Roman" w:cs="Times New Roman"/>
      <w:sz w:val="24"/>
      <w:szCs w:val="20"/>
      <w:lang w:eastAsia="it-IT" w:bidi="he-IL"/>
    </w:rPr>
  </w:style>
  <w:style w:type="paragraph" w:customStyle="1" w:styleId="codartr1">
    <w:name w:val="codart_r1"/>
    <w:basedOn w:val="Normale"/>
    <w:rsid w:val="002E6D06"/>
    <w:pPr>
      <w:spacing w:before="100" w:beforeAutospacing="1" w:after="100" w:afterAutospacing="1"/>
      <w:jc w:val="left"/>
    </w:pPr>
    <w:rPr>
      <w:rFonts w:eastAsia="Times New Roman" w:cs="Times New Roman"/>
      <w:sz w:val="24"/>
      <w:szCs w:val="24"/>
      <w:lang w:eastAsia="it-IT"/>
    </w:rPr>
  </w:style>
  <w:style w:type="paragraph" w:customStyle="1" w:styleId="MMOggetto">
    <w:name w:val="MM_Oggetto"/>
    <w:basedOn w:val="Normale"/>
    <w:rsid w:val="00364CBD"/>
    <w:pPr>
      <w:spacing w:after="600" w:line="280" w:lineRule="exact"/>
      <w:contextualSpacing/>
    </w:pPr>
    <w:rPr>
      <w:rFonts w:ascii="Garamond" w:hAnsi="Garamond" w:cs="Times New Roman (Corpo CS)"/>
      <w:sz w:val="24"/>
      <w:szCs w:val="24"/>
    </w:rPr>
  </w:style>
  <w:style w:type="character" w:customStyle="1" w:styleId="acopre">
    <w:name w:val="acopre"/>
    <w:basedOn w:val="Carpredefinitoparagrafo"/>
    <w:rsid w:val="00364CBD"/>
  </w:style>
  <w:style w:type="character" w:customStyle="1" w:styleId="FontStyle28">
    <w:name w:val="Font Style28"/>
    <w:uiPriority w:val="99"/>
    <w:rsid w:val="00653B05"/>
    <w:rPr>
      <w:rFonts w:ascii="Verdana" w:hAnsi="Verdana" w:cs="Verdana" w:hint="default"/>
      <w:b/>
      <w:bCs/>
      <w:i/>
      <w:iCs/>
      <w:sz w:val="20"/>
      <w:szCs w:val="20"/>
    </w:rPr>
  </w:style>
  <w:style w:type="paragraph" w:customStyle="1" w:styleId="Style5">
    <w:name w:val="Style5"/>
    <w:basedOn w:val="Normale"/>
    <w:uiPriority w:val="99"/>
    <w:rsid w:val="00653B05"/>
    <w:pPr>
      <w:widowControl w:val="0"/>
      <w:autoSpaceDE w:val="0"/>
      <w:autoSpaceDN w:val="0"/>
      <w:adjustRightInd w:val="0"/>
      <w:spacing w:line="267" w:lineRule="exact"/>
      <w:ind w:hanging="317"/>
    </w:pPr>
    <w:rPr>
      <w:rFonts w:ascii="Verdana" w:eastAsia="Times New Roman" w:hAnsi="Verdana" w:cs="Times New Roman"/>
      <w:sz w:val="24"/>
      <w:szCs w:val="24"/>
      <w:lang w:eastAsia="it-IT"/>
    </w:rPr>
  </w:style>
  <w:style w:type="character" w:customStyle="1" w:styleId="FontStyle29">
    <w:name w:val="Font Style29"/>
    <w:uiPriority w:val="99"/>
    <w:rsid w:val="00653B05"/>
    <w:rPr>
      <w:rFonts w:ascii="Verdana" w:hAnsi="Verdana" w:cs="Verdana" w:hint="default"/>
      <w:i/>
      <w:iCs/>
      <w:sz w:val="20"/>
      <w:szCs w:val="20"/>
    </w:rPr>
  </w:style>
  <w:style w:type="paragraph" w:customStyle="1" w:styleId="Style13">
    <w:name w:val="Style13"/>
    <w:basedOn w:val="Normale"/>
    <w:uiPriority w:val="99"/>
    <w:rsid w:val="000D4D44"/>
    <w:pPr>
      <w:autoSpaceDE w:val="0"/>
      <w:autoSpaceDN w:val="0"/>
      <w:jc w:val="left"/>
    </w:pPr>
    <w:rPr>
      <w:rFonts w:ascii="Verdana" w:hAnsi="Verdana" w:cs="Times New Roman"/>
      <w:sz w:val="24"/>
      <w:szCs w:val="24"/>
      <w:lang w:eastAsia="it-IT"/>
    </w:rPr>
  </w:style>
  <w:style w:type="paragraph" w:customStyle="1" w:styleId="Style14">
    <w:name w:val="Style14"/>
    <w:basedOn w:val="Normale"/>
    <w:uiPriority w:val="99"/>
    <w:rsid w:val="000D4D44"/>
    <w:pPr>
      <w:autoSpaceDE w:val="0"/>
      <w:autoSpaceDN w:val="0"/>
      <w:spacing w:line="402" w:lineRule="exact"/>
      <w:ind w:firstLine="82"/>
    </w:pPr>
    <w:rPr>
      <w:rFonts w:ascii="Verdana" w:hAnsi="Verdana" w:cs="Times New Roman"/>
      <w:sz w:val="24"/>
      <w:szCs w:val="24"/>
      <w:lang w:eastAsia="it-IT"/>
    </w:rPr>
  </w:style>
  <w:style w:type="paragraph" w:customStyle="1" w:styleId="Style15">
    <w:name w:val="Style15"/>
    <w:basedOn w:val="Normale"/>
    <w:uiPriority w:val="99"/>
    <w:rsid w:val="000D4D44"/>
    <w:pPr>
      <w:autoSpaceDE w:val="0"/>
      <w:autoSpaceDN w:val="0"/>
      <w:spacing w:line="400" w:lineRule="exact"/>
    </w:pPr>
    <w:rPr>
      <w:rFonts w:ascii="Verdana" w:hAnsi="Verdana" w:cs="Times New Roman"/>
      <w:sz w:val="24"/>
      <w:szCs w:val="24"/>
      <w:lang w:eastAsia="it-IT"/>
    </w:rPr>
  </w:style>
  <w:style w:type="paragraph" w:customStyle="1" w:styleId="Style16">
    <w:name w:val="Style16"/>
    <w:basedOn w:val="Normale"/>
    <w:uiPriority w:val="99"/>
    <w:rsid w:val="000D4D44"/>
    <w:pPr>
      <w:autoSpaceDE w:val="0"/>
      <w:autoSpaceDN w:val="0"/>
      <w:spacing w:line="403" w:lineRule="exact"/>
    </w:pPr>
    <w:rPr>
      <w:rFonts w:ascii="Verdana" w:hAnsi="Verdana" w:cs="Times New Roman"/>
      <w:sz w:val="24"/>
      <w:szCs w:val="24"/>
      <w:lang w:eastAsia="it-IT"/>
    </w:rPr>
  </w:style>
  <w:style w:type="paragraph" w:customStyle="1" w:styleId="Style18">
    <w:name w:val="Style18"/>
    <w:basedOn w:val="Normale"/>
    <w:uiPriority w:val="99"/>
    <w:rsid w:val="000D4D44"/>
    <w:pPr>
      <w:autoSpaceDE w:val="0"/>
      <w:autoSpaceDN w:val="0"/>
      <w:jc w:val="left"/>
    </w:pPr>
    <w:rPr>
      <w:rFonts w:ascii="Verdana" w:hAnsi="Verdana" w:cs="Times New Roman"/>
      <w:sz w:val="24"/>
      <w:szCs w:val="24"/>
      <w:lang w:eastAsia="it-IT"/>
    </w:rPr>
  </w:style>
  <w:style w:type="paragraph" w:customStyle="1" w:styleId="Style19">
    <w:name w:val="Style19"/>
    <w:basedOn w:val="Normale"/>
    <w:uiPriority w:val="99"/>
    <w:rsid w:val="000D4D44"/>
    <w:pPr>
      <w:autoSpaceDE w:val="0"/>
      <w:autoSpaceDN w:val="0"/>
      <w:spacing w:line="398" w:lineRule="exact"/>
      <w:jc w:val="center"/>
    </w:pPr>
    <w:rPr>
      <w:rFonts w:ascii="Verdana" w:hAnsi="Verdana" w:cs="Times New Roman"/>
      <w:sz w:val="24"/>
      <w:szCs w:val="24"/>
      <w:lang w:eastAsia="it-IT"/>
    </w:rPr>
  </w:style>
  <w:style w:type="character" w:customStyle="1" w:styleId="FontStyle30">
    <w:name w:val="Font Style30"/>
    <w:basedOn w:val="Carpredefinitoparagrafo"/>
    <w:uiPriority w:val="99"/>
    <w:rsid w:val="000D4D44"/>
    <w:rPr>
      <w:rFonts w:ascii="Verdana" w:hAnsi="Verdana" w:hint="default"/>
    </w:rPr>
  </w:style>
  <w:style w:type="character" w:customStyle="1" w:styleId="FontStyle24">
    <w:name w:val="Font Style24"/>
    <w:basedOn w:val="Carpredefinitoparagrafo"/>
    <w:uiPriority w:val="99"/>
    <w:rsid w:val="000D4D44"/>
    <w:rPr>
      <w:rFonts w:ascii="Calibri" w:hAnsi="Calibri" w:cs="Calibri" w:hint="default"/>
      <w:b/>
      <w:bCs/>
    </w:rPr>
  </w:style>
  <w:style w:type="character" w:customStyle="1" w:styleId="FontStyle27">
    <w:name w:val="Font Style27"/>
    <w:basedOn w:val="Carpredefinitoparagrafo"/>
    <w:uiPriority w:val="99"/>
    <w:rsid w:val="000D4D44"/>
    <w:rPr>
      <w:rFonts w:ascii="Verdana" w:hAnsi="Verdana" w:hint="default"/>
      <w:b/>
      <w:bCs/>
    </w:rPr>
  </w:style>
  <w:style w:type="paragraph" w:styleId="Sottotitolo">
    <w:name w:val="Subtitle"/>
    <w:basedOn w:val="Normale"/>
    <w:link w:val="SottotitoloCarattere"/>
    <w:uiPriority w:val="11"/>
    <w:qFormat/>
    <w:rsid w:val="00F661BE"/>
    <w:pPr>
      <w:spacing w:after="240"/>
      <w:jc w:val="left"/>
    </w:pPr>
    <w:rPr>
      <w:rFonts w:ascii="Calibri Light" w:hAnsi="Calibri Light" w:cs="Calibri Light"/>
      <w:color w:val="5B9BD5"/>
      <w:sz w:val="28"/>
      <w:szCs w:val="28"/>
    </w:rPr>
  </w:style>
  <w:style w:type="character" w:customStyle="1" w:styleId="SottotitoloCarattere">
    <w:name w:val="Sottotitolo Carattere"/>
    <w:basedOn w:val="Carpredefinitoparagrafo"/>
    <w:link w:val="Sottotitolo"/>
    <w:uiPriority w:val="11"/>
    <w:rsid w:val="00F661BE"/>
    <w:rPr>
      <w:rFonts w:ascii="Calibri Light" w:hAnsi="Calibri Light" w:cs="Calibri Light"/>
      <w:color w:val="5B9BD5"/>
      <w:sz w:val="28"/>
      <w:szCs w:val="28"/>
    </w:rPr>
  </w:style>
  <w:style w:type="paragraph" w:customStyle="1" w:styleId="Corpo">
    <w:name w:val="Corpo"/>
    <w:uiPriority w:val="99"/>
    <w:rsid w:val="008D23C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Arial Unicode MS"/>
      <w:color w:val="000000"/>
      <w:u w:color="000000"/>
      <w:lang w:eastAsia="it-IT"/>
    </w:rPr>
  </w:style>
  <w:style w:type="character" w:customStyle="1" w:styleId="Hyperlink0">
    <w:name w:val="Hyperlink.0"/>
    <w:basedOn w:val="Nessuno"/>
    <w:uiPriority w:val="99"/>
    <w:rsid w:val="008D23C4"/>
    <w:rPr>
      <w:rFonts w:ascii="Times New Roman" w:hAnsi="Times New Roman" w:cs="Times New Roman"/>
      <w:sz w:val="28"/>
      <w:szCs w:val="28"/>
      <w:lang w:val="it-IT"/>
    </w:rPr>
  </w:style>
  <w:style w:type="character" w:styleId="Collegamentovisitato">
    <w:name w:val="FollowedHyperlink"/>
    <w:basedOn w:val="Carpredefinitoparagrafo"/>
    <w:uiPriority w:val="99"/>
    <w:semiHidden/>
    <w:unhideWhenUsed/>
    <w:rsid w:val="00DE61F3"/>
    <w:rPr>
      <w:color w:val="954F72" w:themeColor="followedHyperlink"/>
      <w:u w:val="single"/>
    </w:rPr>
  </w:style>
  <w:style w:type="numbering" w:customStyle="1" w:styleId="Stileimportato2">
    <w:name w:val="Stile importato 2"/>
    <w:rsid w:val="00BA695A"/>
    <w:pPr>
      <w:numPr>
        <w:numId w:val="2"/>
      </w:numPr>
    </w:pPr>
  </w:style>
  <w:style w:type="numbering" w:customStyle="1" w:styleId="Stileimportato3">
    <w:name w:val="Stile importato 3"/>
    <w:rsid w:val="00BA695A"/>
    <w:pPr>
      <w:numPr>
        <w:numId w:val="3"/>
      </w:numPr>
    </w:pPr>
  </w:style>
  <w:style w:type="character" w:customStyle="1" w:styleId="apple-converted-space">
    <w:name w:val="apple-converted-space"/>
    <w:basedOn w:val="Carpredefinitoparagrafo"/>
    <w:rsid w:val="0006574D"/>
  </w:style>
  <w:style w:type="character" w:customStyle="1" w:styleId="Titolo4Carattere">
    <w:name w:val="Titolo 4 Carattere"/>
    <w:basedOn w:val="Carpredefinitoparagrafo"/>
    <w:link w:val="Titolo4"/>
    <w:uiPriority w:val="9"/>
    <w:rsid w:val="00CA267C"/>
    <w:rPr>
      <w:rFonts w:asciiTheme="majorHAnsi" w:eastAsiaTheme="majorEastAsia" w:hAnsiTheme="majorHAnsi" w:cstheme="majorBidi"/>
      <w:i/>
      <w:iCs/>
      <w:color w:val="2E74B5" w:themeColor="accent1" w:themeShade="BF"/>
    </w:rPr>
  </w:style>
  <w:style w:type="character" w:customStyle="1" w:styleId="alink">
    <w:name w:val="a_link"/>
    <w:basedOn w:val="Carpredefinitoparagrafo"/>
    <w:rsid w:val="00343D88"/>
    <w:rPr>
      <w:color w:val="000000"/>
    </w:rPr>
  </w:style>
  <w:style w:type="character" w:customStyle="1" w:styleId="lbl-numero-articolo">
    <w:name w:val="lbl-numero-articolo"/>
    <w:basedOn w:val="Carpredefinitoparagrafo"/>
    <w:rsid w:val="00343D88"/>
    <w:rPr>
      <w:b/>
      <w:bCs/>
    </w:rPr>
  </w:style>
  <w:style w:type="paragraph" w:customStyle="1" w:styleId="testo-leggedj-para-r1">
    <w:name w:val="testo-legge_dj-para-r1"/>
    <w:basedOn w:val="Normale"/>
    <w:rsid w:val="00343D88"/>
    <w:pPr>
      <w:pBdr>
        <w:top w:val="none" w:sz="0" w:space="1" w:color="auto"/>
        <w:bottom w:val="none" w:sz="0" w:space="1" w:color="auto"/>
      </w:pBdr>
      <w:spacing w:line="330" w:lineRule="atLeast"/>
    </w:pPr>
    <w:rPr>
      <w:rFonts w:ascii="Arial" w:eastAsia="Arial" w:hAnsi="Arial" w:cs="Arial"/>
      <w:sz w:val="24"/>
      <w:szCs w:val="24"/>
      <w:lang w:eastAsia="it-IT"/>
    </w:rPr>
  </w:style>
  <w:style w:type="paragraph" w:customStyle="1" w:styleId="dj-para-r2">
    <w:name w:val="dj-para-r2"/>
    <w:basedOn w:val="Normale"/>
    <w:rsid w:val="00343D88"/>
    <w:pPr>
      <w:pBdr>
        <w:top w:val="none" w:sz="0" w:space="6" w:color="auto"/>
        <w:left w:val="none" w:sz="0" w:space="3" w:color="auto"/>
        <w:bottom w:val="none" w:sz="0" w:space="6" w:color="auto"/>
        <w:right w:val="none" w:sz="0" w:space="3" w:color="auto"/>
      </w:pBdr>
      <w:spacing w:line="330" w:lineRule="atLeast"/>
      <w:jc w:val="left"/>
    </w:pPr>
    <w:rPr>
      <w:rFonts w:ascii="Arial" w:eastAsia="Arial" w:hAnsi="Arial" w:cs="Arial"/>
      <w:sz w:val="24"/>
      <w:szCs w:val="24"/>
      <w:lang w:eastAsia="it-IT"/>
    </w:rPr>
  </w:style>
  <w:style w:type="character" w:customStyle="1" w:styleId="dj-testo-evidenziato-scadenza">
    <w:name w:val="dj-testo-evidenziato-scadenza"/>
    <w:basedOn w:val="Carpredefinitoparagrafo"/>
    <w:rsid w:val="00343D88"/>
  </w:style>
  <w:style w:type="table" w:customStyle="1" w:styleId="TableNormal">
    <w:name w:val="Table Normal"/>
    <w:uiPriority w:val="2"/>
    <w:semiHidden/>
    <w:unhideWhenUsed/>
    <w:qFormat/>
    <w:rsid w:val="004055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055E4"/>
    <w:pPr>
      <w:widowControl w:val="0"/>
      <w:autoSpaceDE w:val="0"/>
      <w:autoSpaceDN w:val="0"/>
      <w:jc w:val="left"/>
    </w:pPr>
    <w:rPr>
      <w:rFonts w:ascii="Arial" w:eastAsia="Arial" w:hAnsi="Arial" w:cs="Arial"/>
    </w:rPr>
  </w:style>
  <w:style w:type="paragraph" w:customStyle="1" w:styleId="provvr00">
    <w:name w:val="provvr0"/>
    <w:basedOn w:val="Normale"/>
    <w:rsid w:val="00447F60"/>
    <w:pPr>
      <w:spacing w:before="100" w:beforeAutospacing="1" w:after="100" w:afterAutospacing="1"/>
      <w:jc w:val="left"/>
    </w:pPr>
    <w:rPr>
      <w:rFonts w:cs="Times New Roman"/>
      <w:sz w:val="24"/>
      <w:szCs w:val="24"/>
      <w:lang w:eastAsia="it-IT"/>
    </w:rPr>
  </w:style>
  <w:style w:type="paragraph" w:customStyle="1" w:styleId="p8">
    <w:name w:val="p8"/>
    <w:basedOn w:val="Normale"/>
    <w:rsid w:val="00C44B75"/>
    <w:pPr>
      <w:spacing w:before="100" w:beforeAutospacing="1" w:after="100" w:afterAutospacing="1"/>
      <w:jc w:val="left"/>
    </w:pPr>
    <w:rPr>
      <w:rFonts w:eastAsia="Times New Roman" w:cs="Times New Roman"/>
      <w:sz w:val="24"/>
      <w:szCs w:val="24"/>
      <w:lang w:eastAsia="it-IT"/>
    </w:rPr>
  </w:style>
  <w:style w:type="paragraph" w:customStyle="1" w:styleId="provvr1">
    <w:name w:val="provv_r1"/>
    <w:basedOn w:val="Normale"/>
    <w:rsid w:val="00D5376A"/>
    <w:pPr>
      <w:spacing w:before="100" w:beforeAutospacing="1" w:after="100" w:afterAutospacing="1"/>
      <w:jc w:val="left"/>
    </w:pPr>
    <w:rPr>
      <w:rFonts w:eastAsia="Times New Roman" w:cs="Times New Roman"/>
      <w:sz w:val="24"/>
      <w:szCs w:val="24"/>
      <w:lang w:eastAsia="it-IT"/>
    </w:rPr>
  </w:style>
  <w:style w:type="character" w:customStyle="1" w:styleId="bumpedfont15">
    <w:name w:val="bumpedfont15"/>
    <w:basedOn w:val="Carpredefinitoparagrafo"/>
    <w:rsid w:val="0055580E"/>
  </w:style>
  <w:style w:type="paragraph" w:customStyle="1" w:styleId="s14">
    <w:name w:val="s14"/>
    <w:basedOn w:val="Normale"/>
    <w:uiPriority w:val="99"/>
    <w:rsid w:val="004B4FCE"/>
    <w:pPr>
      <w:spacing w:before="100" w:beforeAutospacing="1" w:after="100" w:afterAutospacing="1"/>
      <w:jc w:val="left"/>
    </w:pPr>
    <w:rPr>
      <w:rFonts w:eastAsia="Times New Roman" w:cs="Times New Roman"/>
      <w:sz w:val="24"/>
      <w:szCs w:val="24"/>
      <w:lang w:eastAsia="it-IT"/>
    </w:rPr>
  </w:style>
  <w:style w:type="paragraph" w:customStyle="1" w:styleId="p2">
    <w:name w:val="p2"/>
    <w:basedOn w:val="Normale"/>
    <w:rsid w:val="00656865"/>
    <w:pPr>
      <w:spacing w:before="100" w:beforeAutospacing="1" w:after="100" w:afterAutospacing="1"/>
      <w:jc w:val="left"/>
    </w:pPr>
    <w:rPr>
      <w:rFonts w:ascii="Calibri" w:eastAsia="Calibri" w:hAnsi="Calibri" w:cs="Calibri"/>
      <w:lang w:eastAsia="it-IT"/>
    </w:rPr>
  </w:style>
  <w:style w:type="paragraph" w:customStyle="1" w:styleId="CM1">
    <w:name w:val="CM1"/>
    <w:basedOn w:val="Normale"/>
    <w:next w:val="Normale"/>
    <w:uiPriority w:val="99"/>
    <w:rsid w:val="00656865"/>
    <w:pPr>
      <w:autoSpaceDE w:val="0"/>
      <w:autoSpaceDN w:val="0"/>
      <w:adjustRightInd w:val="0"/>
      <w:jc w:val="left"/>
    </w:pPr>
    <w:rPr>
      <w:rFonts w:cs="Times New Roman"/>
      <w:sz w:val="24"/>
      <w:szCs w:val="24"/>
    </w:rPr>
  </w:style>
  <w:style w:type="paragraph" w:styleId="Rientrocorpodeltesto">
    <w:name w:val="Body Text Indent"/>
    <w:basedOn w:val="Normale"/>
    <w:link w:val="RientrocorpodeltestoCarattere"/>
    <w:uiPriority w:val="99"/>
    <w:semiHidden/>
    <w:unhideWhenUsed/>
    <w:rsid w:val="00830A0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30A03"/>
    <w:rPr>
      <w:rFonts w:ascii="Times New Roman" w:hAnsi="Times New Roman"/>
    </w:rPr>
  </w:style>
  <w:style w:type="paragraph" w:customStyle="1" w:styleId="didefaulta">
    <w:name w:val="didefaulta"/>
    <w:basedOn w:val="Normale"/>
    <w:rsid w:val="009035F5"/>
    <w:pPr>
      <w:jc w:val="left"/>
    </w:pPr>
    <w:rPr>
      <w:rFonts w:ascii="Helvetica" w:hAnsi="Helvetica" w:cs="Times New Roman"/>
      <w:color w:val="000000"/>
      <w:lang w:eastAsia="it-IT"/>
    </w:rPr>
  </w:style>
  <w:style w:type="character" w:customStyle="1" w:styleId="provvabrogato">
    <w:name w:val="provv_abrogato"/>
    <w:basedOn w:val="Carpredefinitoparagrafo"/>
    <w:rsid w:val="00A2013C"/>
  </w:style>
  <w:style w:type="paragraph" w:customStyle="1" w:styleId="xwordsection1">
    <w:name w:val="x_wordsection1"/>
    <w:basedOn w:val="Normale"/>
    <w:rsid w:val="009F57C1"/>
    <w:pPr>
      <w:jc w:val="left"/>
    </w:pPr>
    <w:rPr>
      <w:rFonts w:cs="Times New Roman"/>
      <w:sz w:val="24"/>
      <w:szCs w:val="24"/>
      <w:lang w:eastAsia="it-IT"/>
    </w:rPr>
  </w:style>
  <w:style w:type="character" w:customStyle="1" w:styleId="Menzionenonrisolta2">
    <w:name w:val="Menzione non risolta2"/>
    <w:basedOn w:val="Carpredefinitoparagrafo"/>
    <w:uiPriority w:val="99"/>
    <w:semiHidden/>
    <w:unhideWhenUsed/>
    <w:rsid w:val="005D64A6"/>
    <w:rPr>
      <w:color w:val="605E5C"/>
      <w:shd w:val="clear" w:color="auto" w:fill="E1DFDD"/>
    </w:rPr>
  </w:style>
  <w:style w:type="character" w:customStyle="1" w:styleId="spelle">
    <w:name w:val="spelle"/>
    <w:basedOn w:val="Carpredefinitoparagrafo"/>
    <w:rsid w:val="00A46731"/>
  </w:style>
  <w:style w:type="character" w:customStyle="1" w:styleId="fontstyle01">
    <w:name w:val="fontstyle01"/>
    <w:basedOn w:val="Carpredefinitoparagrafo"/>
    <w:rsid w:val="00A358E6"/>
    <w:rPr>
      <w:rFonts w:ascii="Times New Roman" w:hAnsi="Times New Roman" w:cs="Times New Roman" w:hint="default"/>
      <w:b w:val="0"/>
      <w:bCs w:val="0"/>
      <w:i w:val="0"/>
      <w:iCs w:val="0"/>
      <w:color w:val="000000"/>
      <w:sz w:val="24"/>
      <w:szCs w:val="24"/>
    </w:rPr>
  </w:style>
  <w:style w:type="character" w:customStyle="1" w:styleId="fontstyle21">
    <w:name w:val="fontstyle21"/>
    <w:basedOn w:val="Carpredefinitoparagrafo"/>
    <w:rsid w:val="00A358E6"/>
    <w:rPr>
      <w:rFonts w:ascii="Times New Roman" w:hAnsi="Times New Roman" w:cs="Times New Roman" w:hint="default"/>
      <w:b w:val="0"/>
      <w:bCs w:val="0"/>
      <w:i/>
      <w:iCs/>
      <w:color w:val="000000"/>
      <w:sz w:val="24"/>
      <w:szCs w:val="24"/>
    </w:rPr>
  </w:style>
  <w:style w:type="table" w:customStyle="1" w:styleId="PlainTable211">
    <w:name w:val="Plain Table 211"/>
    <w:basedOn w:val="Tabellanormale"/>
    <w:uiPriority w:val="42"/>
    <w:rsid w:val="00D2331D"/>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0">
      <w:bodyDiv w:val="1"/>
      <w:marLeft w:val="0"/>
      <w:marRight w:val="0"/>
      <w:marTop w:val="0"/>
      <w:marBottom w:val="0"/>
      <w:divBdr>
        <w:top w:val="none" w:sz="0" w:space="0" w:color="auto"/>
        <w:left w:val="none" w:sz="0" w:space="0" w:color="auto"/>
        <w:bottom w:val="none" w:sz="0" w:space="0" w:color="auto"/>
        <w:right w:val="none" w:sz="0" w:space="0" w:color="auto"/>
      </w:divBdr>
    </w:div>
    <w:div w:id="9647043">
      <w:bodyDiv w:val="1"/>
      <w:marLeft w:val="0"/>
      <w:marRight w:val="0"/>
      <w:marTop w:val="0"/>
      <w:marBottom w:val="0"/>
      <w:divBdr>
        <w:top w:val="none" w:sz="0" w:space="0" w:color="auto"/>
        <w:left w:val="none" w:sz="0" w:space="0" w:color="auto"/>
        <w:bottom w:val="none" w:sz="0" w:space="0" w:color="auto"/>
        <w:right w:val="none" w:sz="0" w:space="0" w:color="auto"/>
      </w:divBdr>
    </w:div>
    <w:div w:id="20396918">
      <w:bodyDiv w:val="1"/>
      <w:marLeft w:val="0"/>
      <w:marRight w:val="0"/>
      <w:marTop w:val="0"/>
      <w:marBottom w:val="0"/>
      <w:divBdr>
        <w:top w:val="none" w:sz="0" w:space="0" w:color="auto"/>
        <w:left w:val="none" w:sz="0" w:space="0" w:color="auto"/>
        <w:bottom w:val="none" w:sz="0" w:space="0" w:color="auto"/>
        <w:right w:val="none" w:sz="0" w:space="0" w:color="auto"/>
      </w:divBdr>
    </w:div>
    <w:div w:id="20866053">
      <w:bodyDiv w:val="1"/>
      <w:marLeft w:val="0"/>
      <w:marRight w:val="0"/>
      <w:marTop w:val="0"/>
      <w:marBottom w:val="0"/>
      <w:divBdr>
        <w:top w:val="none" w:sz="0" w:space="0" w:color="auto"/>
        <w:left w:val="none" w:sz="0" w:space="0" w:color="auto"/>
        <w:bottom w:val="none" w:sz="0" w:space="0" w:color="auto"/>
        <w:right w:val="none" w:sz="0" w:space="0" w:color="auto"/>
      </w:divBdr>
    </w:div>
    <w:div w:id="24723078">
      <w:bodyDiv w:val="1"/>
      <w:marLeft w:val="0"/>
      <w:marRight w:val="0"/>
      <w:marTop w:val="0"/>
      <w:marBottom w:val="0"/>
      <w:divBdr>
        <w:top w:val="none" w:sz="0" w:space="0" w:color="auto"/>
        <w:left w:val="none" w:sz="0" w:space="0" w:color="auto"/>
        <w:bottom w:val="none" w:sz="0" w:space="0" w:color="auto"/>
        <w:right w:val="none" w:sz="0" w:space="0" w:color="auto"/>
      </w:divBdr>
    </w:div>
    <w:div w:id="36862336">
      <w:bodyDiv w:val="1"/>
      <w:marLeft w:val="0"/>
      <w:marRight w:val="0"/>
      <w:marTop w:val="0"/>
      <w:marBottom w:val="0"/>
      <w:divBdr>
        <w:top w:val="none" w:sz="0" w:space="0" w:color="auto"/>
        <w:left w:val="none" w:sz="0" w:space="0" w:color="auto"/>
        <w:bottom w:val="none" w:sz="0" w:space="0" w:color="auto"/>
        <w:right w:val="none" w:sz="0" w:space="0" w:color="auto"/>
      </w:divBdr>
    </w:div>
    <w:div w:id="39327013">
      <w:bodyDiv w:val="1"/>
      <w:marLeft w:val="0"/>
      <w:marRight w:val="0"/>
      <w:marTop w:val="0"/>
      <w:marBottom w:val="0"/>
      <w:divBdr>
        <w:top w:val="none" w:sz="0" w:space="0" w:color="auto"/>
        <w:left w:val="none" w:sz="0" w:space="0" w:color="auto"/>
        <w:bottom w:val="none" w:sz="0" w:space="0" w:color="auto"/>
        <w:right w:val="none" w:sz="0" w:space="0" w:color="auto"/>
      </w:divBdr>
    </w:div>
    <w:div w:id="41488250">
      <w:bodyDiv w:val="1"/>
      <w:marLeft w:val="0"/>
      <w:marRight w:val="0"/>
      <w:marTop w:val="0"/>
      <w:marBottom w:val="0"/>
      <w:divBdr>
        <w:top w:val="none" w:sz="0" w:space="0" w:color="auto"/>
        <w:left w:val="none" w:sz="0" w:space="0" w:color="auto"/>
        <w:bottom w:val="none" w:sz="0" w:space="0" w:color="auto"/>
        <w:right w:val="none" w:sz="0" w:space="0" w:color="auto"/>
      </w:divBdr>
    </w:div>
    <w:div w:id="44642491">
      <w:bodyDiv w:val="1"/>
      <w:marLeft w:val="0"/>
      <w:marRight w:val="0"/>
      <w:marTop w:val="0"/>
      <w:marBottom w:val="0"/>
      <w:divBdr>
        <w:top w:val="none" w:sz="0" w:space="0" w:color="auto"/>
        <w:left w:val="none" w:sz="0" w:space="0" w:color="auto"/>
        <w:bottom w:val="none" w:sz="0" w:space="0" w:color="auto"/>
        <w:right w:val="none" w:sz="0" w:space="0" w:color="auto"/>
      </w:divBdr>
    </w:div>
    <w:div w:id="46538139">
      <w:bodyDiv w:val="1"/>
      <w:marLeft w:val="0"/>
      <w:marRight w:val="0"/>
      <w:marTop w:val="0"/>
      <w:marBottom w:val="0"/>
      <w:divBdr>
        <w:top w:val="none" w:sz="0" w:space="0" w:color="auto"/>
        <w:left w:val="none" w:sz="0" w:space="0" w:color="auto"/>
        <w:bottom w:val="none" w:sz="0" w:space="0" w:color="auto"/>
        <w:right w:val="none" w:sz="0" w:space="0" w:color="auto"/>
      </w:divBdr>
    </w:div>
    <w:div w:id="48308056">
      <w:bodyDiv w:val="1"/>
      <w:marLeft w:val="0"/>
      <w:marRight w:val="0"/>
      <w:marTop w:val="0"/>
      <w:marBottom w:val="0"/>
      <w:divBdr>
        <w:top w:val="none" w:sz="0" w:space="0" w:color="auto"/>
        <w:left w:val="none" w:sz="0" w:space="0" w:color="auto"/>
        <w:bottom w:val="none" w:sz="0" w:space="0" w:color="auto"/>
        <w:right w:val="none" w:sz="0" w:space="0" w:color="auto"/>
      </w:divBdr>
    </w:div>
    <w:div w:id="49152956">
      <w:bodyDiv w:val="1"/>
      <w:marLeft w:val="0"/>
      <w:marRight w:val="0"/>
      <w:marTop w:val="0"/>
      <w:marBottom w:val="0"/>
      <w:divBdr>
        <w:top w:val="none" w:sz="0" w:space="0" w:color="auto"/>
        <w:left w:val="none" w:sz="0" w:space="0" w:color="auto"/>
        <w:bottom w:val="none" w:sz="0" w:space="0" w:color="auto"/>
        <w:right w:val="none" w:sz="0" w:space="0" w:color="auto"/>
      </w:divBdr>
    </w:div>
    <w:div w:id="64186983">
      <w:bodyDiv w:val="1"/>
      <w:marLeft w:val="0"/>
      <w:marRight w:val="0"/>
      <w:marTop w:val="0"/>
      <w:marBottom w:val="0"/>
      <w:divBdr>
        <w:top w:val="none" w:sz="0" w:space="0" w:color="auto"/>
        <w:left w:val="none" w:sz="0" w:space="0" w:color="auto"/>
        <w:bottom w:val="none" w:sz="0" w:space="0" w:color="auto"/>
        <w:right w:val="none" w:sz="0" w:space="0" w:color="auto"/>
      </w:divBdr>
    </w:div>
    <w:div w:id="68966714">
      <w:bodyDiv w:val="1"/>
      <w:marLeft w:val="0"/>
      <w:marRight w:val="0"/>
      <w:marTop w:val="0"/>
      <w:marBottom w:val="0"/>
      <w:divBdr>
        <w:top w:val="none" w:sz="0" w:space="0" w:color="auto"/>
        <w:left w:val="none" w:sz="0" w:space="0" w:color="auto"/>
        <w:bottom w:val="none" w:sz="0" w:space="0" w:color="auto"/>
        <w:right w:val="none" w:sz="0" w:space="0" w:color="auto"/>
      </w:divBdr>
    </w:div>
    <w:div w:id="69543608">
      <w:bodyDiv w:val="1"/>
      <w:marLeft w:val="0"/>
      <w:marRight w:val="0"/>
      <w:marTop w:val="0"/>
      <w:marBottom w:val="0"/>
      <w:divBdr>
        <w:top w:val="none" w:sz="0" w:space="0" w:color="auto"/>
        <w:left w:val="none" w:sz="0" w:space="0" w:color="auto"/>
        <w:bottom w:val="none" w:sz="0" w:space="0" w:color="auto"/>
        <w:right w:val="none" w:sz="0" w:space="0" w:color="auto"/>
      </w:divBdr>
    </w:div>
    <w:div w:id="73086773">
      <w:bodyDiv w:val="1"/>
      <w:marLeft w:val="0"/>
      <w:marRight w:val="0"/>
      <w:marTop w:val="0"/>
      <w:marBottom w:val="0"/>
      <w:divBdr>
        <w:top w:val="none" w:sz="0" w:space="0" w:color="auto"/>
        <w:left w:val="none" w:sz="0" w:space="0" w:color="auto"/>
        <w:bottom w:val="none" w:sz="0" w:space="0" w:color="auto"/>
        <w:right w:val="none" w:sz="0" w:space="0" w:color="auto"/>
      </w:divBdr>
    </w:div>
    <w:div w:id="73167813">
      <w:bodyDiv w:val="1"/>
      <w:marLeft w:val="0"/>
      <w:marRight w:val="0"/>
      <w:marTop w:val="0"/>
      <w:marBottom w:val="0"/>
      <w:divBdr>
        <w:top w:val="none" w:sz="0" w:space="0" w:color="auto"/>
        <w:left w:val="none" w:sz="0" w:space="0" w:color="auto"/>
        <w:bottom w:val="none" w:sz="0" w:space="0" w:color="auto"/>
        <w:right w:val="none" w:sz="0" w:space="0" w:color="auto"/>
      </w:divBdr>
    </w:div>
    <w:div w:id="77867396">
      <w:bodyDiv w:val="1"/>
      <w:marLeft w:val="0"/>
      <w:marRight w:val="0"/>
      <w:marTop w:val="0"/>
      <w:marBottom w:val="0"/>
      <w:divBdr>
        <w:top w:val="none" w:sz="0" w:space="0" w:color="auto"/>
        <w:left w:val="none" w:sz="0" w:space="0" w:color="auto"/>
        <w:bottom w:val="none" w:sz="0" w:space="0" w:color="auto"/>
        <w:right w:val="none" w:sz="0" w:space="0" w:color="auto"/>
      </w:divBdr>
    </w:div>
    <w:div w:id="78791044">
      <w:bodyDiv w:val="1"/>
      <w:marLeft w:val="0"/>
      <w:marRight w:val="0"/>
      <w:marTop w:val="0"/>
      <w:marBottom w:val="0"/>
      <w:divBdr>
        <w:top w:val="none" w:sz="0" w:space="0" w:color="auto"/>
        <w:left w:val="none" w:sz="0" w:space="0" w:color="auto"/>
        <w:bottom w:val="none" w:sz="0" w:space="0" w:color="auto"/>
        <w:right w:val="none" w:sz="0" w:space="0" w:color="auto"/>
      </w:divBdr>
    </w:div>
    <w:div w:id="85616755">
      <w:bodyDiv w:val="1"/>
      <w:marLeft w:val="0"/>
      <w:marRight w:val="0"/>
      <w:marTop w:val="0"/>
      <w:marBottom w:val="0"/>
      <w:divBdr>
        <w:top w:val="none" w:sz="0" w:space="0" w:color="auto"/>
        <w:left w:val="none" w:sz="0" w:space="0" w:color="auto"/>
        <w:bottom w:val="none" w:sz="0" w:space="0" w:color="auto"/>
        <w:right w:val="none" w:sz="0" w:space="0" w:color="auto"/>
      </w:divBdr>
    </w:div>
    <w:div w:id="87241764">
      <w:bodyDiv w:val="1"/>
      <w:marLeft w:val="0"/>
      <w:marRight w:val="0"/>
      <w:marTop w:val="0"/>
      <w:marBottom w:val="0"/>
      <w:divBdr>
        <w:top w:val="none" w:sz="0" w:space="0" w:color="auto"/>
        <w:left w:val="none" w:sz="0" w:space="0" w:color="auto"/>
        <w:bottom w:val="none" w:sz="0" w:space="0" w:color="auto"/>
        <w:right w:val="none" w:sz="0" w:space="0" w:color="auto"/>
      </w:divBdr>
    </w:div>
    <w:div w:id="91097173">
      <w:bodyDiv w:val="1"/>
      <w:marLeft w:val="0"/>
      <w:marRight w:val="0"/>
      <w:marTop w:val="0"/>
      <w:marBottom w:val="0"/>
      <w:divBdr>
        <w:top w:val="none" w:sz="0" w:space="0" w:color="auto"/>
        <w:left w:val="none" w:sz="0" w:space="0" w:color="auto"/>
        <w:bottom w:val="none" w:sz="0" w:space="0" w:color="auto"/>
        <w:right w:val="none" w:sz="0" w:space="0" w:color="auto"/>
      </w:divBdr>
    </w:div>
    <w:div w:id="94984404">
      <w:bodyDiv w:val="1"/>
      <w:marLeft w:val="0"/>
      <w:marRight w:val="0"/>
      <w:marTop w:val="0"/>
      <w:marBottom w:val="0"/>
      <w:divBdr>
        <w:top w:val="none" w:sz="0" w:space="0" w:color="auto"/>
        <w:left w:val="none" w:sz="0" w:space="0" w:color="auto"/>
        <w:bottom w:val="none" w:sz="0" w:space="0" w:color="auto"/>
        <w:right w:val="none" w:sz="0" w:space="0" w:color="auto"/>
      </w:divBdr>
    </w:div>
    <w:div w:id="95637478">
      <w:bodyDiv w:val="1"/>
      <w:marLeft w:val="0"/>
      <w:marRight w:val="0"/>
      <w:marTop w:val="0"/>
      <w:marBottom w:val="0"/>
      <w:divBdr>
        <w:top w:val="none" w:sz="0" w:space="0" w:color="auto"/>
        <w:left w:val="none" w:sz="0" w:space="0" w:color="auto"/>
        <w:bottom w:val="none" w:sz="0" w:space="0" w:color="auto"/>
        <w:right w:val="none" w:sz="0" w:space="0" w:color="auto"/>
      </w:divBdr>
    </w:div>
    <w:div w:id="95953027">
      <w:bodyDiv w:val="1"/>
      <w:marLeft w:val="0"/>
      <w:marRight w:val="0"/>
      <w:marTop w:val="0"/>
      <w:marBottom w:val="0"/>
      <w:divBdr>
        <w:top w:val="none" w:sz="0" w:space="0" w:color="auto"/>
        <w:left w:val="none" w:sz="0" w:space="0" w:color="auto"/>
        <w:bottom w:val="none" w:sz="0" w:space="0" w:color="auto"/>
        <w:right w:val="none" w:sz="0" w:space="0" w:color="auto"/>
      </w:divBdr>
    </w:div>
    <w:div w:id="112134385">
      <w:bodyDiv w:val="1"/>
      <w:marLeft w:val="0"/>
      <w:marRight w:val="0"/>
      <w:marTop w:val="0"/>
      <w:marBottom w:val="0"/>
      <w:divBdr>
        <w:top w:val="none" w:sz="0" w:space="0" w:color="auto"/>
        <w:left w:val="none" w:sz="0" w:space="0" w:color="auto"/>
        <w:bottom w:val="none" w:sz="0" w:space="0" w:color="auto"/>
        <w:right w:val="none" w:sz="0" w:space="0" w:color="auto"/>
      </w:divBdr>
    </w:div>
    <w:div w:id="113452586">
      <w:bodyDiv w:val="1"/>
      <w:marLeft w:val="0"/>
      <w:marRight w:val="0"/>
      <w:marTop w:val="0"/>
      <w:marBottom w:val="0"/>
      <w:divBdr>
        <w:top w:val="none" w:sz="0" w:space="0" w:color="auto"/>
        <w:left w:val="none" w:sz="0" w:space="0" w:color="auto"/>
        <w:bottom w:val="none" w:sz="0" w:space="0" w:color="auto"/>
        <w:right w:val="none" w:sz="0" w:space="0" w:color="auto"/>
      </w:divBdr>
    </w:div>
    <w:div w:id="119030767">
      <w:bodyDiv w:val="1"/>
      <w:marLeft w:val="0"/>
      <w:marRight w:val="0"/>
      <w:marTop w:val="0"/>
      <w:marBottom w:val="0"/>
      <w:divBdr>
        <w:top w:val="none" w:sz="0" w:space="0" w:color="auto"/>
        <w:left w:val="none" w:sz="0" w:space="0" w:color="auto"/>
        <w:bottom w:val="none" w:sz="0" w:space="0" w:color="auto"/>
        <w:right w:val="none" w:sz="0" w:space="0" w:color="auto"/>
      </w:divBdr>
    </w:div>
    <w:div w:id="129711254">
      <w:bodyDiv w:val="1"/>
      <w:marLeft w:val="0"/>
      <w:marRight w:val="0"/>
      <w:marTop w:val="0"/>
      <w:marBottom w:val="0"/>
      <w:divBdr>
        <w:top w:val="none" w:sz="0" w:space="0" w:color="auto"/>
        <w:left w:val="none" w:sz="0" w:space="0" w:color="auto"/>
        <w:bottom w:val="none" w:sz="0" w:space="0" w:color="auto"/>
        <w:right w:val="none" w:sz="0" w:space="0" w:color="auto"/>
      </w:divBdr>
    </w:div>
    <w:div w:id="130562287">
      <w:bodyDiv w:val="1"/>
      <w:marLeft w:val="0"/>
      <w:marRight w:val="0"/>
      <w:marTop w:val="0"/>
      <w:marBottom w:val="0"/>
      <w:divBdr>
        <w:top w:val="none" w:sz="0" w:space="0" w:color="auto"/>
        <w:left w:val="none" w:sz="0" w:space="0" w:color="auto"/>
        <w:bottom w:val="none" w:sz="0" w:space="0" w:color="auto"/>
        <w:right w:val="none" w:sz="0" w:space="0" w:color="auto"/>
      </w:divBdr>
    </w:div>
    <w:div w:id="134760480">
      <w:bodyDiv w:val="1"/>
      <w:marLeft w:val="0"/>
      <w:marRight w:val="0"/>
      <w:marTop w:val="0"/>
      <w:marBottom w:val="0"/>
      <w:divBdr>
        <w:top w:val="none" w:sz="0" w:space="0" w:color="auto"/>
        <w:left w:val="none" w:sz="0" w:space="0" w:color="auto"/>
        <w:bottom w:val="none" w:sz="0" w:space="0" w:color="auto"/>
        <w:right w:val="none" w:sz="0" w:space="0" w:color="auto"/>
      </w:divBdr>
    </w:div>
    <w:div w:id="138688887">
      <w:bodyDiv w:val="1"/>
      <w:marLeft w:val="0"/>
      <w:marRight w:val="0"/>
      <w:marTop w:val="0"/>
      <w:marBottom w:val="0"/>
      <w:divBdr>
        <w:top w:val="none" w:sz="0" w:space="0" w:color="auto"/>
        <w:left w:val="none" w:sz="0" w:space="0" w:color="auto"/>
        <w:bottom w:val="none" w:sz="0" w:space="0" w:color="auto"/>
        <w:right w:val="none" w:sz="0" w:space="0" w:color="auto"/>
      </w:divBdr>
    </w:div>
    <w:div w:id="144444247">
      <w:bodyDiv w:val="1"/>
      <w:marLeft w:val="0"/>
      <w:marRight w:val="0"/>
      <w:marTop w:val="0"/>
      <w:marBottom w:val="0"/>
      <w:divBdr>
        <w:top w:val="none" w:sz="0" w:space="0" w:color="auto"/>
        <w:left w:val="none" w:sz="0" w:space="0" w:color="auto"/>
        <w:bottom w:val="none" w:sz="0" w:space="0" w:color="auto"/>
        <w:right w:val="none" w:sz="0" w:space="0" w:color="auto"/>
      </w:divBdr>
    </w:div>
    <w:div w:id="147989036">
      <w:bodyDiv w:val="1"/>
      <w:marLeft w:val="0"/>
      <w:marRight w:val="0"/>
      <w:marTop w:val="0"/>
      <w:marBottom w:val="0"/>
      <w:divBdr>
        <w:top w:val="none" w:sz="0" w:space="0" w:color="auto"/>
        <w:left w:val="none" w:sz="0" w:space="0" w:color="auto"/>
        <w:bottom w:val="none" w:sz="0" w:space="0" w:color="auto"/>
        <w:right w:val="none" w:sz="0" w:space="0" w:color="auto"/>
      </w:divBdr>
    </w:div>
    <w:div w:id="151526772">
      <w:bodyDiv w:val="1"/>
      <w:marLeft w:val="0"/>
      <w:marRight w:val="0"/>
      <w:marTop w:val="0"/>
      <w:marBottom w:val="0"/>
      <w:divBdr>
        <w:top w:val="none" w:sz="0" w:space="0" w:color="auto"/>
        <w:left w:val="none" w:sz="0" w:space="0" w:color="auto"/>
        <w:bottom w:val="none" w:sz="0" w:space="0" w:color="auto"/>
        <w:right w:val="none" w:sz="0" w:space="0" w:color="auto"/>
      </w:divBdr>
    </w:div>
    <w:div w:id="152140875">
      <w:bodyDiv w:val="1"/>
      <w:marLeft w:val="0"/>
      <w:marRight w:val="0"/>
      <w:marTop w:val="0"/>
      <w:marBottom w:val="0"/>
      <w:divBdr>
        <w:top w:val="none" w:sz="0" w:space="0" w:color="auto"/>
        <w:left w:val="none" w:sz="0" w:space="0" w:color="auto"/>
        <w:bottom w:val="none" w:sz="0" w:space="0" w:color="auto"/>
        <w:right w:val="none" w:sz="0" w:space="0" w:color="auto"/>
      </w:divBdr>
    </w:div>
    <w:div w:id="152722599">
      <w:bodyDiv w:val="1"/>
      <w:marLeft w:val="0"/>
      <w:marRight w:val="0"/>
      <w:marTop w:val="0"/>
      <w:marBottom w:val="0"/>
      <w:divBdr>
        <w:top w:val="none" w:sz="0" w:space="0" w:color="auto"/>
        <w:left w:val="none" w:sz="0" w:space="0" w:color="auto"/>
        <w:bottom w:val="none" w:sz="0" w:space="0" w:color="auto"/>
        <w:right w:val="none" w:sz="0" w:space="0" w:color="auto"/>
      </w:divBdr>
    </w:div>
    <w:div w:id="154493432">
      <w:bodyDiv w:val="1"/>
      <w:marLeft w:val="0"/>
      <w:marRight w:val="0"/>
      <w:marTop w:val="0"/>
      <w:marBottom w:val="0"/>
      <w:divBdr>
        <w:top w:val="none" w:sz="0" w:space="0" w:color="auto"/>
        <w:left w:val="none" w:sz="0" w:space="0" w:color="auto"/>
        <w:bottom w:val="none" w:sz="0" w:space="0" w:color="auto"/>
        <w:right w:val="none" w:sz="0" w:space="0" w:color="auto"/>
      </w:divBdr>
    </w:div>
    <w:div w:id="154734548">
      <w:bodyDiv w:val="1"/>
      <w:marLeft w:val="0"/>
      <w:marRight w:val="0"/>
      <w:marTop w:val="0"/>
      <w:marBottom w:val="0"/>
      <w:divBdr>
        <w:top w:val="none" w:sz="0" w:space="0" w:color="auto"/>
        <w:left w:val="none" w:sz="0" w:space="0" w:color="auto"/>
        <w:bottom w:val="none" w:sz="0" w:space="0" w:color="auto"/>
        <w:right w:val="none" w:sz="0" w:space="0" w:color="auto"/>
      </w:divBdr>
    </w:div>
    <w:div w:id="155846049">
      <w:bodyDiv w:val="1"/>
      <w:marLeft w:val="0"/>
      <w:marRight w:val="0"/>
      <w:marTop w:val="0"/>
      <w:marBottom w:val="0"/>
      <w:divBdr>
        <w:top w:val="none" w:sz="0" w:space="0" w:color="auto"/>
        <w:left w:val="none" w:sz="0" w:space="0" w:color="auto"/>
        <w:bottom w:val="none" w:sz="0" w:space="0" w:color="auto"/>
        <w:right w:val="none" w:sz="0" w:space="0" w:color="auto"/>
      </w:divBdr>
    </w:div>
    <w:div w:id="158349761">
      <w:bodyDiv w:val="1"/>
      <w:marLeft w:val="0"/>
      <w:marRight w:val="0"/>
      <w:marTop w:val="0"/>
      <w:marBottom w:val="0"/>
      <w:divBdr>
        <w:top w:val="none" w:sz="0" w:space="0" w:color="auto"/>
        <w:left w:val="none" w:sz="0" w:space="0" w:color="auto"/>
        <w:bottom w:val="none" w:sz="0" w:space="0" w:color="auto"/>
        <w:right w:val="none" w:sz="0" w:space="0" w:color="auto"/>
      </w:divBdr>
    </w:div>
    <w:div w:id="162624678">
      <w:bodyDiv w:val="1"/>
      <w:marLeft w:val="0"/>
      <w:marRight w:val="0"/>
      <w:marTop w:val="0"/>
      <w:marBottom w:val="0"/>
      <w:divBdr>
        <w:top w:val="none" w:sz="0" w:space="0" w:color="auto"/>
        <w:left w:val="none" w:sz="0" w:space="0" w:color="auto"/>
        <w:bottom w:val="none" w:sz="0" w:space="0" w:color="auto"/>
        <w:right w:val="none" w:sz="0" w:space="0" w:color="auto"/>
      </w:divBdr>
    </w:div>
    <w:div w:id="167795152">
      <w:bodyDiv w:val="1"/>
      <w:marLeft w:val="0"/>
      <w:marRight w:val="0"/>
      <w:marTop w:val="0"/>
      <w:marBottom w:val="0"/>
      <w:divBdr>
        <w:top w:val="none" w:sz="0" w:space="0" w:color="auto"/>
        <w:left w:val="none" w:sz="0" w:space="0" w:color="auto"/>
        <w:bottom w:val="none" w:sz="0" w:space="0" w:color="auto"/>
        <w:right w:val="none" w:sz="0" w:space="0" w:color="auto"/>
      </w:divBdr>
    </w:div>
    <w:div w:id="173108798">
      <w:bodyDiv w:val="1"/>
      <w:marLeft w:val="0"/>
      <w:marRight w:val="0"/>
      <w:marTop w:val="0"/>
      <w:marBottom w:val="0"/>
      <w:divBdr>
        <w:top w:val="none" w:sz="0" w:space="0" w:color="auto"/>
        <w:left w:val="none" w:sz="0" w:space="0" w:color="auto"/>
        <w:bottom w:val="none" w:sz="0" w:space="0" w:color="auto"/>
        <w:right w:val="none" w:sz="0" w:space="0" w:color="auto"/>
      </w:divBdr>
    </w:div>
    <w:div w:id="187067618">
      <w:bodyDiv w:val="1"/>
      <w:marLeft w:val="0"/>
      <w:marRight w:val="0"/>
      <w:marTop w:val="0"/>
      <w:marBottom w:val="0"/>
      <w:divBdr>
        <w:top w:val="none" w:sz="0" w:space="0" w:color="auto"/>
        <w:left w:val="none" w:sz="0" w:space="0" w:color="auto"/>
        <w:bottom w:val="none" w:sz="0" w:space="0" w:color="auto"/>
        <w:right w:val="none" w:sz="0" w:space="0" w:color="auto"/>
      </w:divBdr>
    </w:div>
    <w:div w:id="187529168">
      <w:bodyDiv w:val="1"/>
      <w:marLeft w:val="0"/>
      <w:marRight w:val="0"/>
      <w:marTop w:val="0"/>
      <w:marBottom w:val="0"/>
      <w:divBdr>
        <w:top w:val="none" w:sz="0" w:space="0" w:color="auto"/>
        <w:left w:val="none" w:sz="0" w:space="0" w:color="auto"/>
        <w:bottom w:val="none" w:sz="0" w:space="0" w:color="auto"/>
        <w:right w:val="none" w:sz="0" w:space="0" w:color="auto"/>
      </w:divBdr>
    </w:div>
    <w:div w:id="187642302">
      <w:bodyDiv w:val="1"/>
      <w:marLeft w:val="0"/>
      <w:marRight w:val="0"/>
      <w:marTop w:val="0"/>
      <w:marBottom w:val="0"/>
      <w:divBdr>
        <w:top w:val="none" w:sz="0" w:space="0" w:color="auto"/>
        <w:left w:val="none" w:sz="0" w:space="0" w:color="auto"/>
        <w:bottom w:val="none" w:sz="0" w:space="0" w:color="auto"/>
        <w:right w:val="none" w:sz="0" w:space="0" w:color="auto"/>
      </w:divBdr>
    </w:div>
    <w:div w:id="195899045">
      <w:bodyDiv w:val="1"/>
      <w:marLeft w:val="0"/>
      <w:marRight w:val="0"/>
      <w:marTop w:val="0"/>
      <w:marBottom w:val="0"/>
      <w:divBdr>
        <w:top w:val="none" w:sz="0" w:space="0" w:color="auto"/>
        <w:left w:val="none" w:sz="0" w:space="0" w:color="auto"/>
        <w:bottom w:val="none" w:sz="0" w:space="0" w:color="auto"/>
        <w:right w:val="none" w:sz="0" w:space="0" w:color="auto"/>
      </w:divBdr>
    </w:div>
    <w:div w:id="205534226">
      <w:bodyDiv w:val="1"/>
      <w:marLeft w:val="0"/>
      <w:marRight w:val="0"/>
      <w:marTop w:val="0"/>
      <w:marBottom w:val="0"/>
      <w:divBdr>
        <w:top w:val="none" w:sz="0" w:space="0" w:color="auto"/>
        <w:left w:val="none" w:sz="0" w:space="0" w:color="auto"/>
        <w:bottom w:val="none" w:sz="0" w:space="0" w:color="auto"/>
        <w:right w:val="none" w:sz="0" w:space="0" w:color="auto"/>
      </w:divBdr>
    </w:div>
    <w:div w:id="207109446">
      <w:bodyDiv w:val="1"/>
      <w:marLeft w:val="0"/>
      <w:marRight w:val="0"/>
      <w:marTop w:val="0"/>
      <w:marBottom w:val="0"/>
      <w:divBdr>
        <w:top w:val="none" w:sz="0" w:space="0" w:color="auto"/>
        <w:left w:val="none" w:sz="0" w:space="0" w:color="auto"/>
        <w:bottom w:val="none" w:sz="0" w:space="0" w:color="auto"/>
        <w:right w:val="none" w:sz="0" w:space="0" w:color="auto"/>
      </w:divBdr>
    </w:div>
    <w:div w:id="210652020">
      <w:bodyDiv w:val="1"/>
      <w:marLeft w:val="0"/>
      <w:marRight w:val="0"/>
      <w:marTop w:val="0"/>
      <w:marBottom w:val="0"/>
      <w:divBdr>
        <w:top w:val="none" w:sz="0" w:space="0" w:color="auto"/>
        <w:left w:val="none" w:sz="0" w:space="0" w:color="auto"/>
        <w:bottom w:val="none" w:sz="0" w:space="0" w:color="auto"/>
        <w:right w:val="none" w:sz="0" w:space="0" w:color="auto"/>
      </w:divBdr>
    </w:div>
    <w:div w:id="211498604">
      <w:bodyDiv w:val="1"/>
      <w:marLeft w:val="0"/>
      <w:marRight w:val="0"/>
      <w:marTop w:val="0"/>
      <w:marBottom w:val="0"/>
      <w:divBdr>
        <w:top w:val="none" w:sz="0" w:space="0" w:color="auto"/>
        <w:left w:val="none" w:sz="0" w:space="0" w:color="auto"/>
        <w:bottom w:val="none" w:sz="0" w:space="0" w:color="auto"/>
        <w:right w:val="none" w:sz="0" w:space="0" w:color="auto"/>
      </w:divBdr>
    </w:div>
    <w:div w:id="219022041">
      <w:bodyDiv w:val="1"/>
      <w:marLeft w:val="0"/>
      <w:marRight w:val="0"/>
      <w:marTop w:val="0"/>
      <w:marBottom w:val="0"/>
      <w:divBdr>
        <w:top w:val="none" w:sz="0" w:space="0" w:color="auto"/>
        <w:left w:val="none" w:sz="0" w:space="0" w:color="auto"/>
        <w:bottom w:val="none" w:sz="0" w:space="0" w:color="auto"/>
        <w:right w:val="none" w:sz="0" w:space="0" w:color="auto"/>
      </w:divBdr>
    </w:div>
    <w:div w:id="219559573">
      <w:bodyDiv w:val="1"/>
      <w:marLeft w:val="0"/>
      <w:marRight w:val="0"/>
      <w:marTop w:val="0"/>
      <w:marBottom w:val="0"/>
      <w:divBdr>
        <w:top w:val="none" w:sz="0" w:space="0" w:color="auto"/>
        <w:left w:val="none" w:sz="0" w:space="0" w:color="auto"/>
        <w:bottom w:val="none" w:sz="0" w:space="0" w:color="auto"/>
        <w:right w:val="none" w:sz="0" w:space="0" w:color="auto"/>
      </w:divBdr>
    </w:div>
    <w:div w:id="220823292">
      <w:bodyDiv w:val="1"/>
      <w:marLeft w:val="0"/>
      <w:marRight w:val="0"/>
      <w:marTop w:val="0"/>
      <w:marBottom w:val="0"/>
      <w:divBdr>
        <w:top w:val="none" w:sz="0" w:space="0" w:color="auto"/>
        <w:left w:val="none" w:sz="0" w:space="0" w:color="auto"/>
        <w:bottom w:val="none" w:sz="0" w:space="0" w:color="auto"/>
        <w:right w:val="none" w:sz="0" w:space="0" w:color="auto"/>
      </w:divBdr>
    </w:div>
    <w:div w:id="222983445">
      <w:bodyDiv w:val="1"/>
      <w:marLeft w:val="0"/>
      <w:marRight w:val="0"/>
      <w:marTop w:val="0"/>
      <w:marBottom w:val="0"/>
      <w:divBdr>
        <w:top w:val="none" w:sz="0" w:space="0" w:color="auto"/>
        <w:left w:val="none" w:sz="0" w:space="0" w:color="auto"/>
        <w:bottom w:val="none" w:sz="0" w:space="0" w:color="auto"/>
        <w:right w:val="none" w:sz="0" w:space="0" w:color="auto"/>
      </w:divBdr>
    </w:div>
    <w:div w:id="247275210">
      <w:bodyDiv w:val="1"/>
      <w:marLeft w:val="0"/>
      <w:marRight w:val="0"/>
      <w:marTop w:val="0"/>
      <w:marBottom w:val="0"/>
      <w:divBdr>
        <w:top w:val="none" w:sz="0" w:space="0" w:color="auto"/>
        <w:left w:val="none" w:sz="0" w:space="0" w:color="auto"/>
        <w:bottom w:val="none" w:sz="0" w:space="0" w:color="auto"/>
        <w:right w:val="none" w:sz="0" w:space="0" w:color="auto"/>
      </w:divBdr>
    </w:div>
    <w:div w:id="255941627">
      <w:bodyDiv w:val="1"/>
      <w:marLeft w:val="0"/>
      <w:marRight w:val="0"/>
      <w:marTop w:val="0"/>
      <w:marBottom w:val="0"/>
      <w:divBdr>
        <w:top w:val="none" w:sz="0" w:space="0" w:color="auto"/>
        <w:left w:val="none" w:sz="0" w:space="0" w:color="auto"/>
        <w:bottom w:val="none" w:sz="0" w:space="0" w:color="auto"/>
        <w:right w:val="none" w:sz="0" w:space="0" w:color="auto"/>
      </w:divBdr>
    </w:div>
    <w:div w:id="256867118">
      <w:bodyDiv w:val="1"/>
      <w:marLeft w:val="0"/>
      <w:marRight w:val="0"/>
      <w:marTop w:val="0"/>
      <w:marBottom w:val="0"/>
      <w:divBdr>
        <w:top w:val="none" w:sz="0" w:space="0" w:color="auto"/>
        <w:left w:val="none" w:sz="0" w:space="0" w:color="auto"/>
        <w:bottom w:val="none" w:sz="0" w:space="0" w:color="auto"/>
        <w:right w:val="none" w:sz="0" w:space="0" w:color="auto"/>
      </w:divBdr>
    </w:div>
    <w:div w:id="262223149">
      <w:bodyDiv w:val="1"/>
      <w:marLeft w:val="0"/>
      <w:marRight w:val="0"/>
      <w:marTop w:val="0"/>
      <w:marBottom w:val="0"/>
      <w:divBdr>
        <w:top w:val="none" w:sz="0" w:space="0" w:color="auto"/>
        <w:left w:val="none" w:sz="0" w:space="0" w:color="auto"/>
        <w:bottom w:val="none" w:sz="0" w:space="0" w:color="auto"/>
        <w:right w:val="none" w:sz="0" w:space="0" w:color="auto"/>
      </w:divBdr>
    </w:div>
    <w:div w:id="262424535">
      <w:bodyDiv w:val="1"/>
      <w:marLeft w:val="0"/>
      <w:marRight w:val="0"/>
      <w:marTop w:val="0"/>
      <w:marBottom w:val="0"/>
      <w:divBdr>
        <w:top w:val="none" w:sz="0" w:space="0" w:color="auto"/>
        <w:left w:val="none" w:sz="0" w:space="0" w:color="auto"/>
        <w:bottom w:val="none" w:sz="0" w:space="0" w:color="auto"/>
        <w:right w:val="none" w:sz="0" w:space="0" w:color="auto"/>
      </w:divBdr>
    </w:div>
    <w:div w:id="263420328">
      <w:bodyDiv w:val="1"/>
      <w:marLeft w:val="0"/>
      <w:marRight w:val="0"/>
      <w:marTop w:val="0"/>
      <w:marBottom w:val="0"/>
      <w:divBdr>
        <w:top w:val="none" w:sz="0" w:space="0" w:color="auto"/>
        <w:left w:val="none" w:sz="0" w:space="0" w:color="auto"/>
        <w:bottom w:val="none" w:sz="0" w:space="0" w:color="auto"/>
        <w:right w:val="none" w:sz="0" w:space="0" w:color="auto"/>
      </w:divBdr>
    </w:div>
    <w:div w:id="263608937">
      <w:bodyDiv w:val="1"/>
      <w:marLeft w:val="0"/>
      <w:marRight w:val="0"/>
      <w:marTop w:val="0"/>
      <w:marBottom w:val="0"/>
      <w:divBdr>
        <w:top w:val="none" w:sz="0" w:space="0" w:color="auto"/>
        <w:left w:val="none" w:sz="0" w:space="0" w:color="auto"/>
        <w:bottom w:val="none" w:sz="0" w:space="0" w:color="auto"/>
        <w:right w:val="none" w:sz="0" w:space="0" w:color="auto"/>
      </w:divBdr>
    </w:div>
    <w:div w:id="268271033">
      <w:bodyDiv w:val="1"/>
      <w:marLeft w:val="0"/>
      <w:marRight w:val="0"/>
      <w:marTop w:val="0"/>
      <w:marBottom w:val="0"/>
      <w:divBdr>
        <w:top w:val="none" w:sz="0" w:space="0" w:color="auto"/>
        <w:left w:val="none" w:sz="0" w:space="0" w:color="auto"/>
        <w:bottom w:val="none" w:sz="0" w:space="0" w:color="auto"/>
        <w:right w:val="none" w:sz="0" w:space="0" w:color="auto"/>
      </w:divBdr>
    </w:div>
    <w:div w:id="269091077">
      <w:bodyDiv w:val="1"/>
      <w:marLeft w:val="0"/>
      <w:marRight w:val="0"/>
      <w:marTop w:val="0"/>
      <w:marBottom w:val="0"/>
      <w:divBdr>
        <w:top w:val="none" w:sz="0" w:space="0" w:color="auto"/>
        <w:left w:val="none" w:sz="0" w:space="0" w:color="auto"/>
        <w:bottom w:val="none" w:sz="0" w:space="0" w:color="auto"/>
        <w:right w:val="none" w:sz="0" w:space="0" w:color="auto"/>
      </w:divBdr>
    </w:div>
    <w:div w:id="269823022">
      <w:bodyDiv w:val="1"/>
      <w:marLeft w:val="0"/>
      <w:marRight w:val="0"/>
      <w:marTop w:val="0"/>
      <w:marBottom w:val="0"/>
      <w:divBdr>
        <w:top w:val="none" w:sz="0" w:space="0" w:color="auto"/>
        <w:left w:val="none" w:sz="0" w:space="0" w:color="auto"/>
        <w:bottom w:val="none" w:sz="0" w:space="0" w:color="auto"/>
        <w:right w:val="none" w:sz="0" w:space="0" w:color="auto"/>
      </w:divBdr>
    </w:div>
    <w:div w:id="270019727">
      <w:bodyDiv w:val="1"/>
      <w:marLeft w:val="0"/>
      <w:marRight w:val="0"/>
      <w:marTop w:val="0"/>
      <w:marBottom w:val="0"/>
      <w:divBdr>
        <w:top w:val="none" w:sz="0" w:space="0" w:color="auto"/>
        <w:left w:val="none" w:sz="0" w:space="0" w:color="auto"/>
        <w:bottom w:val="none" w:sz="0" w:space="0" w:color="auto"/>
        <w:right w:val="none" w:sz="0" w:space="0" w:color="auto"/>
      </w:divBdr>
    </w:div>
    <w:div w:id="272516058">
      <w:bodyDiv w:val="1"/>
      <w:marLeft w:val="0"/>
      <w:marRight w:val="0"/>
      <w:marTop w:val="150"/>
      <w:marBottom w:val="0"/>
      <w:divBdr>
        <w:top w:val="none" w:sz="0" w:space="0" w:color="auto"/>
        <w:left w:val="none" w:sz="0" w:space="0" w:color="auto"/>
        <w:bottom w:val="none" w:sz="0" w:space="0" w:color="auto"/>
        <w:right w:val="none" w:sz="0" w:space="0" w:color="auto"/>
      </w:divBdr>
      <w:divsChild>
        <w:div w:id="1587305832">
          <w:marLeft w:val="0"/>
          <w:marRight w:val="0"/>
          <w:marTop w:val="0"/>
          <w:marBottom w:val="0"/>
          <w:divBdr>
            <w:top w:val="none" w:sz="0" w:space="0" w:color="auto"/>
            <w:left w:val="none" w:sz="0" w:space="0" w:color="auto"/>
            <w:bottom w:val="none" w:sz="0" w:space="0" w:color="auto"/>
            <w:right w:val="none" w:sz="0" w:space="0" w:color="auto"/>
          </w:divBdr>
          <w:divsChild>
            <w:div w:id="133529464">
              <w:marLeft w:val="0"/>
              <w:marRight w:val="0"/>
              <w:marTop w:val="0"/>
              <w:marBottom w:val="0"/>
              <w:divBdr>
                <w:top w:val="none" w:sz="0" w:space="0" w:color="auto"/>
                <w:left w:val="none" w:sz="0" w:space="0" w:color="auto"/>
                <w:bottom w:val="none" w:sz="0" w:space="0" w:color="auto"/>
                <w:right w:val="none" w:sz="0" w:space="0" w:color="auto"/>
              </w:divBdr>
              <w:divsChild>
                <w:div w:id="1453941520">
                  <w:marLeft w:val="0"/>
                  <w:marRight w:val="0"/>
                  <w:marTop w:val="0"/>
                  <w:marBottom w:val="0"/>
                  <w:divBdr>
                    <w:top w:val="none" w:sz="0" w:space="0" w:color="auto"/>
                    <w:left w:val="none" w:sz="0" w:space="0" w:color="auto"/>
                    <w:bottom w:val="none" w:sz="0" w:space="0" w:color="auto"/>
                    <w:right w:val="none" w:sz="0" w:space="0" w:color="auto"/>
                  </w:divBdr>
                  <w:divsChild>
                    <w:div w:id="2026707075">
                      <w:marLeft w:val="0"/>
                      <w:marRight w:val="0"/>
                      <w:marTop w:val="0"/>
                      <w:marBottom w:val="0"/>
                      <w:divBdr>
                        <w:top w:val="none" w:sz="0" w:space="0" w:color="auto"/>
                        <w:left w:val="none" w:sz="0" w:space="0" w:color="auto"/>
                        <w:bottom w:val="none" w:sz="0" w:space="0" w:color="auto"/>
                        <w:right w:val="none" w:sz="0" w:space="0" w:color="auto"/>
                      </w:divBdr>
                      <w:divsChild>
                        <w:div w:id="497186691">
                          <w:marLeft w:val="375"/>
                          <w:marRight w:val="0"/>
                          <w:marTop w:val="0"/>
                          <w:marBottom w:val="0"/>
                          <w:divBdr>
                            <w:top w:val="none" w:sz="0" w:space="0" w:color="auto"/>
                            <w:left w:val="none" w:sz="0" w:space="0" w:color="auto"/>
                            <w:bottom w:val="none" w:sz="0" w:space="0" w:color="auto"/>
                            <w:right w:val="none" w:sz="0" w:space="0" w:color="auto"/>
                          </w:divBdr>
                          <w:divsChild>
                            <w:div w:id="243608763">
                              <w:marLeft w:val="0"/>
                              <w:marRight w:val="0"/>
                              <w:marTop w:val="0"/>
                              <w:marBottom w:val="300"/>
                              <w:divBdr>
                                <w:top w:val="none" w:sz="0" w:space="0" w:color="auto"/>
                                <w:left w:val="single" w:sz="6" w:space="0" w:color="EDEDED"/>
                                <w:bottom w:val="single" w:sz="6" w:space="26" w:color="EDEDED"/>
                                <w:right w:val="single" w:sz="6" w:space="0" w:color="EDEDED"/>
                              </w:divBdr>
                              <w:divsChild>
                                <w:div w:id="3885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45727">
      <w:bodyDiv w:val="1"/>
      <w:marLeft w:val="0"/>
      <w:marRight w:val="0"/>
      <w:marTop w:val="0"/>
      <w:marBottom w:val="0"/>
      <w:divBdr>
        <w:top w:val="none" w:sz="0" w:space="0" w:color="auto"/>
        <w:left w:val="none" w:sz="0" w:space="0" w:color="auto"/>
        <w:bottom w:val="none" w:sz="0" w:space="0" w:color="auto"/>
        <w:right w:val="none" w:sz="0" w:space="0" w:color="auto"/>
      </w:divBdr>
    </w:div>
    <w:div w:id="279384641">
      <w:bodyDiv w:val="1"/>
      <w:marLeft w:val="0"/>
      <w:marRight w:val="0"/>
      <w:marTop w:val="0"/>
      <w:marBottom w:val="0"/>
      <w:divBdr>
        <w:top w:val="none" w:sz="0" w:space="0" w:color="auto"/>
        <w:left w:val="none" w:sz="0" w:space="0" w:color="auto"/>
        <w:bottom w:val="none" w:sz="0" w:space="0" w:color="auto"/>
        <w:right w:val="none" w:sz="0" w:space="0" w:color="auto"/>
      </w:divBdr>
    </w:div>
    <w:div w:id="281083909">
      <w:bodyDiv w:val="1"/>
      <w:marLeft w:val="0"/>
      <w:marRight w:val="0"/>
      <w:marTop w:val="0"/>
      <w:marBottom w:val="0"/>
      <w:divBdr>
        <w:top w:val="none" w:sz="0" w:space="0" w:color="auto"/>
        <w:left w:val="none" w:sz="0" w:space="0" w:color="auto"/>
        <w:bottom w:val="none" w:sz="0" w:space="0" w:color="auto"/>
        <w:right w:val="none" w:sz="0" w:space="0" w:color="auto"/>
      </w:divBdr>
    </w:div>
    <w:div w:id="282344125">
      <w:bodyDiv w:val="1"/>
      <w:marLeft w:val="0"/>
      <w:marRight w:val="0"/>
      <w:marTop w:val="0"/>
      <w:marBottom w:val="0"/>
      <w:divBdr>
        <w:top w:val="none" w:sz="0" w:space="0" w:color="auto"/>
        <w:left w:val="none" w:sz="0" w:space="0" w:color="auto"/>
        <w:bottom w:val="none" w:sz="0" w:space="0" w:color="auto"/>
        <w:right w:val="none" w:sz="0" w:space="0" w:color="auto"/>
      </w:divBdr>
    </w:div>
    <w:div w:id="284428681">
      <w:bodyDiv w:val="1"/>
      <w:marLeft w:val="0"/>
      <w:marRight w:val="0"/>
      <w:marTop w:val="0"/>
      <w:marBottom w:val="0"/>
      <w:divBdr>
        <w:top w:val="none" w:sz="0" w:space="0" w:color="auto"/>
        <w:left w:val="none" w:sz="0" w:space="0" w:color="auto"/>
        <w:bottom w:val="none" w:sz="0" w:space="0" w:color="auto"/>
        <w:right w:val="none" w:sz="0" w:space="0" w:color="auto"/>
      </w:divBdr>
    </w:div>
    <w:div w:id="295574307">
      <w:bodyDiv w:val="1"/>
      <w:marLeft w:val="0"/>
      <w:marRight w:val="0"/>
      <w:marTop w:val="0"/>
      <w:marBottom w:val="0"/>
      <w:divBdr>
        <w:top w:val="none" w:sz="0" w:space="0" w:color="auto"/>
        <w:left w:val="none" w:sz="0" w:space="0" w:color="auto"/>
        <w:bottom w:val="none" w:sz="0" w:space="0" w:color="auto"/>
        <w:right w:val="none" w:sz="0" w:space="0" w:color="auto"/>
      </w:divBdr>
    </w:div>
    <w:div w:id="300426374">
      <w:bodyDiv w:val="1"/>
      <w:marLeft w:val="0"/>
      <w:marRight w:val="0"/>
      <w:marTop w:val="0"/>
      <w:marBottom w:val="0"/>
      <w:divBdr>
        <w:top w:val="none" w:sz="0" w:space="0" w:color="auto"/>
        <w:left w:val="none" w:sz="0" w:space="0" w:color="auto"/>
        <w:bottom w:val="none" w:sz="0" w:space="0" w:color="auto"/>
        <w:right w:val="none" w:sz="0" w:space="0" w:color="auto"/>
      </w:divBdr>
    </w:div>
    <w:div w:id="303463537">
      <w:bodyDiv w:val="1"/>
      <w:marLeft w:val="0"/>
      <w:marRight w:val="0"/>
      <w:marTop w:val="0"/>
      <w:marBottom w:val="0"/>
      <w:divBdr>
        <w:top w:val="none" w:sz="0" w:space="0" w:color="auto"/>
        <w:left w:val="none" w:sz="0" w:space="0" w:color="auto"/>
        <w:bottom w:val="none" w:sz="0" w:space="0" w:color="auto"/>
        <w:right w:val="none" w:sz="0" w:space="0" w:color="auto"/>
      </w:divBdr>
    </w:div>
    <w:div w:id="309092096">
      <w:bodyDiv w:val="1"/>
      <w:marLeft w:val="0"/>
      <w:marRight w:val="0"/>
      <w:marTop w:val="0"/>
      <w:marBottom w:val="0"/>
      <w:divBdr>
        <w:top w:val="none" w:sz="0" w:space="0" w:color="auto"/>
        <w:left w:val="none" w:sz="0" w:space="0" w:color="auto"/>
        <w:bottom w:val="none" w:sz="0" w:space="0" w:color="auto"/>
        <w:right w:val="none" w:sz="0" w:space="0" w:color="auto"/>
      </w:divBdr>
    </w:div>
    <w:div w:id="321659266">
      <w:bodyDiv w:val="1"/>
      <w:marLeft w:val="0"/>
      <w:marRight w:val="0"/>
      <w:marTop w:val="0"/>
      <w:marBottom w:val="0"/>
      <w:divBdr>
        <w:top w:val="none" w:sz="0" w:space="0" w:color="auto"/>
        <w:left w:val="none" w:sz="0" w:space="0" w:color="auto"/>
        <w:bottom w:val="none" w:sz="0" w:space="0" w:color="auto"/>
        <w:right w:val="none" w:sz="0" w:space="0" w:color="auto"/>
      </w:divBdr>
    </w:div>
    <w:div w:id="321928320">
      <w:bodyDiv w:val="1"/>
      <w:marLeft w:val="0"/>
      <w:marRight w:val="0"/>
      <w:marTop w:val="0"/>
      <w:marBottom w:val="0"/>
      <w:divBdr>
        <w:top w:val="none" w:sz="0" w:space="0" w:color="auto"/>
        <w:left w:val="none" w:sz="0" w:space="0" w:color="auto"/>
        <w:bottom w:val="none" w:sz="0" w:space="0" w:color="auto"/>
        <w:right w:val="none" w:sz="0" w:space="0" w:color="auto"/>
      </w:divBdr>
    </w:div>
    <w:div w:id="322584439">
      <w:bodyDiv w:val="1"/>
      <w:marLeft w:val="0"/>
      <w:marRight w:val="0"/>
      <w:marTop w:val="0"/>
      <w:marBottom w:val="0"/>
      <w:divBdr>
        <w:top w:val="none" w:sz="0" w:space="0" w:color="auto"/>
        <w:left w:val="none" w:sz="0" w:space="0" w:color="auto"/>
        <w:bottom w:val="none" w:sz="0" w:space="0" w:color="auto"/>
        <w:right w:val="none" w:sz="0" w:space="0" w:color="auto"/>
      </w:divBdr>
    </w:div>
    <w:div w:id="322660527">
      <w:bodyDiv w:val="1"/>
      <w:marLeft w:val="0"/>
      <w:marRight w:val="0"/>
      <w:marTop w:val="0"/>
      <w:marBottom w:val="0"/>
      <w:divBdr>
        <w:top w:val="none" w:sz="0" w:space="0" w:color="auto"/>
        <w:left w:val="none" w:sz="0" w:space="0" w:color="auto"/>
        <w:bottom w:val="none" w:sz="0" w:space="0" w:color="auto"/>
        <w:right w:val="none" w:sz="0" w:space="0" w:color="auto"/>
      </w:divBdr>
    </w:div>
    <w:div w:id="324666819">
      <w:bodyDiv w:val="1"/>
      <w:marLeft w:val="0"/>
      <w:marRight w:val="0"/>
      <w:marTop w:val="0"/>
      <w:marBottom w:val="0"/>
      <w:divBdr>
        <w:top w:val="none" w:sz="0" w:space="0" w:color="auto"/>
        <w:left w:val="none" w:sz="0" w:space="0" w:color="auto"/>
        <w:bottom w:val="none" w:sz="0" w:space="0" w:color="auto"/>
        <w:right w:val="none" w:sz="0" w:space="0" w:color="auto"/>
      </w:divBdr>
    </w:div>
    <w:div w:id="326057347">
      <w:bodyDiv w:val="1"/>
      <w:marLeft w:val="0"/>
      <w:marRight w:val="0"/>
      <w:marTop w:val="0"/>
      <w:marBottom w:val="0"/>
      <w:divBdr>
        <w:top w:val="none" w:sz="0" w:space="0" w:color="auto"/>
        <w:left w:val="none" w:sz="0" w:space="0" w:color="auto"/>
        <w:bottom w:val="none" w:sz="0" w:space="0" w:color="auto"/>
        <w:right w:val="none" w:sz="0" w:space="0" w:color="auto"/>
      </w:divBdr>
    </w:div>
    <w:div w:id="326128261">
      <w:bodyDiv w:val="1"/>
      <w:marLeft w:val="0"/>
      <w:marRight w:val="0"/>
      <w:marTop w:val="0"/>
      <w:marBottom w:val="0"/>
      <w:divBdr>
        <w:top w:val="none" w:sz="0" w:space="0" w:color="auto"/>
        <w:left w:val="none" w:sz="0" w:space="0" w:color="auto"/>
        <w:bottom w:val="none" w:sz="0" w:space="0" w:color="auto"/>
        <w:right w:val="none" w:sz="0" w:space="0" w:color="auto"/>
      </w:divBdr>
    </w:div>
    <w:div w:id="326445216">
      <w:bodyDiv w:val="1"/>
      <w:marLeft w:val="0"/>
      <w:marRight w:val="0"/>
      <w:marTop w:val="0"/>
      <w:marBottom w:val="0"/>
      <w:divBdr>
        <w:top w:val="none" w:sz="0" w:space="0" w:color="auto"/>
        <w:left w:val="none" w:sz="0" w:space="0" w:color="auto"/>
        <w:bottom w:val="none" w:sz="0" w:space="0" w:color="auto"/>
        <w:right w:val="none" w:sz="0" w:space="0" w:color="auto"/>
      </w:divBdr>
    </w:div>
    <w:div w:id="331031737">
      <w:bodyDiv w:val="1"/>
      <w:marLeft w:val="0"/>
      <w:marRight w:val="0"/>
      <w:marTop w:val="0"/>
      <w:marBottom w:val="0"/>
      <w:divBdr>
        <w:top w:val="none" w:sz="0" w:space="0" w:color="auto"/>
        <w:left w:val="none" w:sz="0" w:space="0" w:color="auto"/>
        <w:bottom w:val="none" w:sz="0" w:space="0" w:color="auto"/>
        <w:right w:val="none" w:sz="0" w:space="0" w:color="auto"/>
      </w:divBdr>
    </w:div>
    <w:div w:id="332076180">
      <w:bodyDiv w:val="1"/>
      <w:marLeft w:val="0"/>
      <w:marRight w:val="0"/>
      <w:marTop w:val="0"/>
      <w:marBottom w:val="0"/>
      <w:divBdr>
        <w:top w:val="none" w:sz="0" w:space="0" w:color="auto"/>
        <w:left w:val="none" w:sz="0" w:space="0" w:color="auto"/>
        <w:bottom w:val="none" w:sz="0" w:space="0" w:color="auto"/>
        <w:right w:val="none" w:sz="0" w:space="0" w:color="auto"/>
      </w:divBdr>
    </w:div>
    <w:div w:id="338393414">
      <w:bodyDiv w:val="1"/>
      <w:marLeft w:val="0"/>
      <w:marRight w:val="0"/>
      <w:marTop w:val="0"/>
      <w:marBottom w:val="0"/>
      <w:divBdr>
        <w:top w:val="none" w:sz="0" w:space="0" w:color="auto"/>
        <w:left w:val="none" w:sz="0" w:space="0" w:color="auto"/>
        <w:bottom w:val="none" w:sz="0" w:space="0" w:color="auto"/>
        <w:right w:val="none" w:sz="0" w:space="0" w:color="auto"/>
      </w:divBdr>
    </w:div>
    <w:div w:id="340082441">
      <w:bodyDiv w:val="1"/>
      <w:marLeft w:val="0"/>
      <w:marRight w:val="0"/>
      <w:marTop w:val="0"/>
      <w:marBottom w:val="0"/>
      <w:divBdr>
        <w:top w:val="none" w:sz="0" w:space="0" w:color="auto"/>
        <w:left w:val="none" w:sz="0" w:space="0" w:color="auto"/>
        <w:bottom w:val="none" w:sz="0" w:space="0" w:color="auto"/>
        <w:right w:val="none" w:sz="0" w:space="0" w:color="auto"/>
      </w:divBdr>
    </w:div>
    <w:div w:id="341586947">
      <w:bodyDiv w:val="1"/>
      <w:marLeft w:val="0"/>
      <w:marRight w:val="0"/>
      <w:marTop w:val="0"/>
      <w:marBottom w:val="0"/>
      <w:divBdr>
        <w:top w:val="none" w:sz="0" w:space="0" w:color="auto"/>
        <w:left w:val="none" w:sz="0" w:space="0" w:color="auto"/>
        <w:bottom w:val="none" w:sz="0" w:space="0" w:color="auto"/>
        <w:right w:val="none" w:sz="0" w:space="0" w:color="auto"/>
      </w:divBdr>
    </w:div>
    <w:div w:id="342129054">
      <w:bodyDiv w:val="1"/>
      <w:marLeft w:val="0"/>
      <w:marRight w:val="0"/>
      <w:marTop w:val="0"/>
      <w:marBottom w:val="0"/>
      <w:divBdr>
        <w:top w:val="none" w:sz="0" w:space="0" w:color="auto"/>
        <w:left w:val="none" w:sz="0" w:space="0" w:color="auto"/>
        <w:bottom w:val="none" w:sz="0" w:space="0" w:color="auto"/>
        <w:right w:val="none" w:sz="0" w:space="0" w:color="auto"/>
      </w:divBdr>
    </w:div>
    <w:div w:id="345442327">
      <w:bodyDiv w:val="1"/>
      <w:marLeft w:val="0"/>
      <w:marRight w:val="0"/>
      <w:marTop w:val="0"/>
      <w:marBottom w:val="0"/>
      <w:divBdr>
        <w:top w:val="none" w:sz="0" w:space="0" w:color="auto"/>
        <w:left w:val="none" w:sz="0" w:space="0" w:color="auto"/>
        <w:bottom w:val="none" w:sz="0" w:space="0" w:color="auto"/>
        <w:right w:val="none" w:sz="0" w:space="0" w:color="auto"/>
      </w:divBdr>
    </w:div>
    <w:div w:id="350225072">
      <w:bodyDiv w:val="1"/>
      <w:marLeft w:val="0"/>
      <w:marRight w:val="0"/>
      <w:marTop w:val="0"/>
      <w:marBottom w:val="0"/>
      <w:divBdr>
        <w:top w:val="none" w:sz="0" w:space="0" w:color="auto"/>
        <w:left w:val="none" w:sz="0" w:space="0" w:color="auto"/>
        <w:bottom w:val="none" w:sz="0" w:space="0" w:color="auto"/>
        <w:right w:val="none" w:sz="0" w:space="0" w:color="auto"/>
      </w:divBdr>
    </w:div>
    <w:div w:id="356278910">
      <w:bodyDiv w:val="1"/>
      <w:marLeft w:val="0"/>
      <w:marRight w:val="0"/>
      <w:marTop w:val="0"/>
      <w:marBottom w:val="0"/>
      <w:divBdr>
        <w:top w:val="none" w:sz="0" w:space="0" w:color="auto"/>
        <w:left w:val="none" w:sz="0" w:space="0" w:color="auto"/>
        <w:bottom w:val="none" w:sz="0" w:space="0" w:color="auto"/>
        <w:right w:val="none" w:sz="0" w:space="0" w:color="auto"/>
      </w:divBdr>
    </w:div>
    <w:div w:id="360590442">
      <w:bodyDiv w:val="1"/>
      <w:marLeft w:val="0"/>
      <w:marRight w:val="0"/>
      <w:marTop w:val="0"/>
      <w:marBottom w:val="0"/>
      <w:divBdr>
        <w:top w:val="none" w:sz="0" w:space="0" w:color="auto"/>
        <w:left w:val="none" w:sz="0" w:space="0" w:color="auto"/>
        <w:bottom w:val="none" w:sz="0" w:space="0" w:color="auto"/>
        <w:right w:val="none" w:sz="0" w:space="0" w:color="auto"/>
      </w:divBdr>
    </w:div>
    <w:div w:id="365445309">
      <w:bodyDiv w:val="1"/>
      <w:marLeft w:val="0"/>
      <w:marRight w:val="0"/>
      <w:marTop w:val="0"/>
      <w:marBottom w:val="0"/>
      <w:divBdr>
        <w:top w:val="none" w:sz="0" w:space="0" w:color="auto"/>
        <w:left w:val="none" w:sz="0" w:space="0" w:color="auto"/>
        <w:bottom w:val="none" w:sz="0" w:space="0" w:color="auto"/>
        <w:right w:val="none" w:sz="0" w:space="0" w:color="auto"/>
      </w:divBdr>
    </w:div>
    <w:div w:id="366487440">
      <w:bodyDiv w:val="1"/>
      <w:marLeft w:val="0"/>
      <w:marRight w:val="0"/>
      <w:marTop w:val="0"/>
      <w:marBottom w:val="0"/>
      <w:divBdr>
        <w:top w:val="none" w:sz="0" w:space="0" w:color="auto"/>
        <w:left w:val="none" w:sz="0" w:space="0" w:color="auto"/>
        <w:bottom w:val="none" w:sz="0" w:space="0" w:color="auto"/>
        <w:right w:val="none" w:sz="0" w:space="0" w:color="auto"/>
      </w:divBdr>
    </w:div>
    <w:div w:id="367799168">
      <w:bodyDiv w:val="1"/>
      <w:marLeft w:val="0"/>
      <w:marRight w:val="0"/>
      <w:marTop w:val="0"/>
      <w:marBottom w:val="0"/>
      <w:divBdr>
        <w:top w:val="none" w:sz="0" w:space="0" w:color="auto"/>
        <w:left w:val="none" w:sz="0" w:space="0" w:color="auto"/>
        <w:bottom w:val="none" w:sz="0" w:space="0" w:color="auto"/>
        <w:right w:val="none" w:sz="0" w:space="0" w:color="auto"/>
      </w:divBdr>
    </w:div>
    <w:div w:id="367876767">
      <w:bodyDiv w:val="1"/>
      <w:marLeft w:val="0"/>
      <w:marRight w:val="0"/>
      <w:marTop w:val="0"/>
      <w:marBottom w:val="0"/>
      <w:divBdr>
        <w:top w:val="none" w:sz="0" w:space="0" w:color="auto"/>
        <w:left w:val="none" w:sz="0" w:space="0" w:color="auto"/>
        <w:bottom w:val="none" w:sz="0" w:space="0" w:color="auto"/>
        <w:right w:val="none" w:sz="0" w:space="0" w:color="auto"/>
      </w:divBdr>
    </w:div>
    <w:div w:id="369258575">
      <w:bodyDiv w:val="1"/>
      <w:marLeft w:val="0"/>
      <w:marRight w:val="0"/>
      <w:marTop w:val="0"/>
      <w:marBottom w:val="0"/>
      <w:divBdr>
        <w:top w:val="none" w:sz="0" w:space="0" w:color="auto"/>
        <w:left w:val="none" w:sz="0" w:space="0" w:color="auto"/>
        <w:bottom w:val="none" w:sz="0" w:space="0" w:color="auto"/>
        <w:right w:val="none" w:sz="0" w:space="0" w:color="auto"/>
      </w:divBdr>
    </w:div>
    <w:div w:id="369961990">
      <w:bodyDiv w:val="1"/>
      <w:marLeft w:val="0"/>
      <w:marRight w:val="0"/>
      <w:marTop w:val="0"/>
      <w:marBottom w:val="0"/>
      <w:divBdr>
        <w:top w:val="none" w:sz="0" w:space="0" w:color="auto"/>
        <w:left w:val="none" w:sz="0" w:space="0" w:color="auto"/>
        <w:bottom w:val="none" w:sz="0" w:space="0" w:color="auto"/>
        <w:right w:val="none" w:sz="0" w:space="0" w:color="auto"/>
      </w:divBdr>
    </w:div>
    <w:div w:id="371346557">
      <w:bodyDiv w:val="1"/>
      <w:marLeft w:val="0"/>
      <w:marRight w:val="0"/>
      <w:marTop w:val="0"/>
      <w:marBottom w:val="0"/>
      <w:divBdr>
        <w:top w:val="none" w:sz="0" w:space="0" w:color="auto"/>
        <w:left w:val="none" w:sz="0" w:space="0" w:color="auto"/>
        <w:bottom w:val="none" w:sz="0" w:space="0" w:color="auto"/>
        <w:right w:val="none" w:sz="0" w:space="0" w:color="auto"/>
      </w:divBdr>
    </w:div>
    <w:div w:id="373585536">
      <w:bodyDiv w:val="1"/>
      <w:marLeft w:val="0"/>
      <w:marRight w:val="0"/>
      <w:marTop w:val="0"/>
      <w:marBottom w:val="0"/>
      <w:divBdr>
        <w:top w:val="none" w:sz="0" w:space="0" w:color="auto"/>
        <w:left w:val="none" w:sz="0" w:space="0" w:color="auto"/>
        <w:bottom w:val="none" w:sz="0" w:space="0" w:color="auto"/>
        <w:right w:val="none" w:sz="0" w:space="0" w:color="auto"/>
      </w:divBdr>
    </w:div>
    <w:div w:id="376852452">
      <w:bodyDiv w:val="1"/>
      <w:marLeft w:val="0"/>
      <w:marRight w:val="0"/>
      <w:marTop w:val="0"/>
      <w:marBottom w:val="0"/>
      <w:divBdr>
        <w:top w:val="none" w:sz="0" w:space="0" w:color="auto"/>
        <w:left w:val="none" w:sz="0" w:space="0" w:color="auto"/>
        <w:bottom w:val="none" w:sz="0" w:space="0" w:color="auto"/>
        <w:right w:val="none" w:sz="0" w:space="0" w:color="auto"/>
      </w:divBdr>
    </w:div>
    <w:div w:id="380062307">
      <w:bodyDiv w:val="1"/>
      <w:marLeft w:val="0"/>
      <w:marRight w:val="0"/>
      <w:marTop w:val="0"/>
      <w:marBottom w:val="0"/>
      <w:divBdr>
        <w:top w:val="none" w:sz="0" w:space="0" w:color="auto"/>
        <w:left w:val="none" w:sz="0" w:space="0" w:color="auto"/>
        <w:bottom w:val="none" w:sz="0" w:space="0" w:color="auto"/>
        <w:right w:val="none" w:sz="0" w:space="0" w:color="auto"/>
      </w:divBdr>
    </w:div>
    <w:div w:id="381247643">
      <w:bodyDiv w:val="1"/>
      <w:marLeft w:val="0"/>
      <w:marRight w:val="0"/>
      <w:marTop w:val="0"/>
      <w:marBottom w:val="0"/>
      <w:divBdr>
        <w:top w:val="none" w:sz="0" w:space="0" w:color="auto"/>
        <w:left w:val="none" w:sz="0" w:space="0" w:color="auto"/>
        <w:bottom w:val="none" w:sz="0" w:space="0" w:color="auto"/>
        <w:right w:val="none" w:sz="0" w:space="0" w:color="auto"/>
      </w:divBdr>
    </w:div>
    <w:div w:id="384065088">
      <w:bodyDiv w:val="1"/>
      <w:marLeft w:val="0"/>
      <w:marRight w:val="0"/>
      <w:marTop w:val="0"/>
      <w:marBottom w:val="0"/>
      <w:divBdr>
        <w:top w:val="none" w:sz="0" w:space="0" w:color="auto"/>
        <w:left w:val="none" w:sz="0" w:space="0" w:color="auto"/>
        <w:bottom w:val="none" w:sz="0" w:space="0" w:color="auto"/>
        <w:right w:val="none" w:sz="0" w:space="0" w:color="auto"/>
      </w:divBdr>
    </w:div>
    <w:div w:id="386220090">
      <w:bodyDiv w:val="1"/>
      <w:marLeft w:val="0"/>
      <w:marRight w:val="0"/>
      <w:marTop w:val="0"/>
      <w:marBottom w:val="0"/>
      <w:divBdr>
        <w:top w:val="none" w:sz="0" w:space="0" w:color="auto"/>
        <w:left w:val="none" w:sz="0" w:space="0" w:color="auto"/>
        <w:bottom w:val="none" w:sz="0" w:space="0" w:color="auto"/>
        <w:right w:val="none" w:sz="0" w:space="0" w:color="auto"/>
      </w:divBdr>
    </w:div>
    <w:div w:id="393507036">
      <w:bodyDiv w:val="1"/>
      <w:marLeft w:val="0"/>
      <w:marRight w:val="0"/>
      <w:marTop w:val="0"/>
      <w:marBottom w:val="0"/>
      <w:divBdr>
        <w:top w:val="none" w:sz="0" w:space="0" w:color="auto"/>
        <w:left w:val="none" w:sz="0" w:space="0" w:color="auto"/>
        <w:bottom w:val="none" w:sz="0" w:space="0" w:color="auto"/>
        <w:right w:val="none" w:sz="0" w:space="0" w:color="auto"/>
      </w:divBdr>
    </w:div>
    <w:div w:id="394552233">
      <w:bodyDiv w:val="1"/>
      <w:marLeft w:val="0"/>
      <w:marRight w:val="0"/>
      <w:marTop w:val="0"/>
      <w:marBottom w:val="0"/>
      <w:divBdr>
        <w:top w:val="none" w:sz="0" w:space="0" w:color="auto"/>
        <w:left w:val="none" w:sz="0" w:space="0" w:color="auto"/>
        <w:bottom w:val="none" w:sz="0" w:space="0" w:color="auto"/>
        <w:right w:val="none" w:sz="0" w:space="0" w:color="auto"/>
      </w:divBdr>
    </w:div>
    <w:div w:id="399063990">
      <w:bodyDiv w:val="1"/>
      <w:marLeft w:val="0"/>
      <w:marRight w:val="0"/>
      <w:marTop w:val="0"/>
      <w:marBottom w:val="0"/>
      <w:divBdr>
        <w:top w:val="none" w:sz="0" w:space="0" w:color="auto"/>
        <w:left w:val="none" w:sz="0" w:space="0" w:color="auto"/>
        <w:bottom w:val="none" w:sz="0" w:space="0" w:color="auto"/>
        <w:right w:val="none" w:sz="0" w:space="0" w:color="auto"/>
      </w:divBdr>
    </w:div>
    <w:div w:id="404649593">
      <w:bodyDiv w:val="1"/>
      <w:marLeft w:val="0"/>
      <w:marRight w:val="0"/>
      <w:marTop w:val="0"/>
      <w:marBottom w:val="0"/>
      <w:divBdr>
        <w:top w:val="none" w:sz="0" w:space="0" w:color="auto"/>
        <w:left w:val="none" w:sz="0" w:space="0" w:color="auto"/>
        <w:bottom w:val="none" w:sz="0" w:space="0" w:color="auto"/>
        <w:right w:val="none" w:sz="0" w:space="0" w:color="auto"/>
      </w:divBdr>
    </w:div>
    <w:div w:id="411968022">
      <w:bodyDiv w:val="1"/>
      <w:marLeft w:val="0"/>
      <w:marRight w:val="0"/>
      <w:marTop w:val="0"/>
      <w:marBottom w:val="0"/>
      <w:divBdr>
        <w:top w:val="none" w:sz="0" w:space="0" w:color="auto"/>
        <w:left w:val="none" w:sz="0" w:space="0" w:color="auto"/>
        <w:bottom w:val="none" w:sz="0" w:space="0" w:color="auto"/>
        <w:right w:val="none" w:sz="0" w:space="0" w:color="auto"/>
      </w:divBdr>
    </w:div>
    <w:div w:id="419565861">
      <w:bodyDiv w:val="1"/>
      <w:marLeft w:val="0"/>
      <w:marRight w:val="0"/>
      <w:marTop w:val="0"/>
      <w:marBottom w:val="0"/>
      <w:divBdr>
        <w:top w:val="none" w:sz="0" w:space="0" w:color="auto"/>
        <w:left w:val="none" w:sz="0" w:space="0" w:color="auto"/>
        <w:bottom w:val="none" w:sz="0" w:space="0" w:color="auto"/>
        <w:right w:val="none" w:sz="0" w:space="0" w:color="auto"/>
      </w:divBdr>
    </w:div>
    <w:div w:id="419722466">
      <w:bodyDiv w:val="1"/>
      <w:marLeft w:val="0"/>
      <w:marRight w:val="0"/>
      <w:marTop w:val="0"/>
      <w:marBottom w:val="0"/>
      <w:divBdr>
        <w:top w:val="none" w:sz="0" w:space="0" w:color="auto"/>
        <w:left w:val="none" w:sz="0" w:space="0" w:color="auto"/>
        <w:bottom w:val="none" w:sz="0" w:space="0" w:color="auto"/>
        <w:right w:val="none" w:sz="0" w:space="0" w:color="auto"/>
      </w:divBdr>
    </w:div>
    <w:div w:id="421875063">
      <w:bodyDiv w:val="1"/>
      <w:marLeft w:val="0"/>
      <w:marRight w:val="0"/>
      <w:marTop w:val="0"/>
      <w:marBottom w:val="0"/>
      <w:divBdr>
        <w:top w:val="none" w:sz="0" w:space="0" w:color="auto"/>
        <w:left w:val="none" w:sz="0" w:space="0" w:color="auto"/>
        <w:bottom w:val="none" w:sz="0" w:space="0" w:color="auto"/>
        <w:right w:val="none" w:sz="0" w:space="0" w:color="auto"/>
      </w:divBdr>
    </w:div>
    <w:div w:id="427316198">
      <w:bodyDiv w:val="1"/>
      <w:marLeft w:val="0"/>
      <w:marRight w:val="0"/>
      <w:marTop w:val="0"/>
      <w:marBottom w:val="0"/>
      <w:divBdr>
        <w:top w:val="none" w:sz="0" w:space="0" w:color="auto"/>
        <w:left w:val="none" w:sz="0" w:space="0" w:color="auto"/>
        <w:bottom w:val="none" w:sz="0" w:space="0" w:color="auto"/>
        <w:right w:val="none" w:sz="0" w:space="0" w:color="auto"/>
      </w:divBdr>
    </w:div>
    <w:div w:id="428742468">
      <w:bodyDiv w:val="1"/>
      <w:marLeft w:val="0"/>
      <w:marRight w:val="0"/>
      <w:marTop w:val="0"/>
      <w:marBottom w:val="0"/>
      <w:divBdr>
        <w:top w:val="none" w:sz="0" w:space="0" w:color="auto"/>
        <w:left w:val="none" w:sz="0" w:space="0" w:color="auto"/>
        <w:bottom w:val="none" w:sz="0" w:space="0" w:color="auto"/>
        <w:right w:val="none" w:sz="0" w:space="0" w:color="auto"/>
      </w:divBdr>
    </w:div>
    <w:div w:id="431439631">
      <w:bodyDiv w:val="1"/>
      <w:marLeft w:val="0"/>
      <w:marRight w:val="0"/>
      <w:marTop w:val="0"/>
      <w:marBottom w:val="0"/>
      <w:divBdr>
        <w:top w:val="none" w:sz="0" w:space="0" w:color="auto"/>
        <w:left w:val="none" w:sz="0" w:space="0" w:color="auto"/>
        <w:bottom w:val="none" w:sz="0" w:space="0" w:color="auto"/>
        <w:right w:val="none" w:sz="0" w:space="0" w:color="auto"/>
      </w:divBdr>
    </w:div>
    <w:div w:id="435517224">
      <w:bodyDiv w:val="1"/>
      <w:marLeft w:val="0"/>
      <w:marRight w:val="0"/>
      <w:marTop w:val="0"/>
      <w:marBottom w:val="0"/>
      <w:divBdr>
        <w:top w:val="none" w:sz="0" w:space="0" w:color="auto"/>
        <w:left w:val="none" w:sz="0" w:space="0" w:color="auto"/>
        <w:bottom w:val="none" w:sz="0" w:space="0" w:color="auto"/>
        <w:right w:val="none" w:sz="0" w:space="0" w:color="auto"/>
      </w:divBdr>
    </w:div>
    <w:div w:id="437219254">
      <w:bodyDiv w:val="1"/>
      <w:marLeft w:val="0"/>
      <w:marRight w:val="0"/>
      <w:marTop w:val="0"/>
      <w:marBottom w:val="0"/>
      <w:divBdr>
        <w:top w:val="none" w:sz="0" w:space="0" w:color="auto"/>
        <w:left w:val="none" w:sz="0" w:space="0" w:color="auto"/>
        <w:bottom w:val="none" w:sz="0" w:space="0" w:color="auto"/>
        <w:right w:val="none" w:sz="0" w:space="0" w:color="auto"/>
      </w:divBdr>
    </w:div>
    <w:div w:id="442071618">
      <w:bodyDiv w:val="1"/>
      <w:marLeft w:val="0"/>
      <w:marRight w:val="0"/>
      <w:marTop w:val="0"/>
      <w:marBottom w:val="0"/>
      <w:divBdr>
        <w:top w:val="none" w:sz="0" w:space="0" w:color="auto"/>
        <w:left w:val="none" w:sz="0" w:space="0" w:color="auto"/>
        <w:bottom w:val="none" w:sz="0" w:space="0" w:color="auto"/>
        <w:right w:val="none" w:sz="0" w:space="0" w:color="auto"/>
      </w:divBdr>
    </w:div>
    <w:div w:id="445924424">
      <w:bodyDiv w:val="1"/>
      <w:marLeft w:val="0"/>
      <w:marRight w:val="0"/>
      <w:marTop w:val="0"/>
      <w:marBottom w:val="0"/>
      <w:divBdr>
        <w:top w:val="none" w:sz="0" w:space="0" w:color="auto"/>
        <w:left w:val="none" w:sz="0" w:space="0" w:color="auto"/>
        <w:bottom w:val="none" w:sz="0" w:space="0" w:color="auto"/>
        <w:right w:val="none" w:sz="0" w:space="0" w:color="auto"/>
      </w:divBdr>
    </w:div>
    <w:div w:id="446698170">
      <w:bodyDiv w:val="1"/>
      <w:marLeft w:val="0"/>
      <w:marRight w:val="0"/>
      <w:marTop w:val="0"/>
      <w:marBottom w:val="0"/>
      <w:divBdr>
        <w:top w:val="none" w:sz="0" w:space="0" w:color="auto"/>
        <w:left w:val="none" w:sz="0" w:space="0" w:color="auto"/>
        <w:bottom w:val="none" w:sz="0" w:space="0" w:color="auto"/>
        <w:right w:val="none" w:sz="0" w:space="0" w:color="auto"/>
      </w:divBdr>
    </w:div>
    <w:div w:id="446705418">
      <w:bodyDiv w:val="1"/>
      <w:marLeft w:val="0"/>
      <w:marRight w:val="0"/>
      <w:marTop w:val="0"/>
      <w:marBottom w:val="0"/>
      <w:divBdr>
        <w:top w:val="none" w:sz="0" w:space="0" w:color="auto"/>
        <w:left w:val="none" w:sz="0" w:space="0" w:color="auto"/>
        <w:bottom w:val="none" w:sz="0" w:space="0" w:color="auto"/>
        <w:right w:val="none" w:sz="0" w:space="0" w:color="auto"/>
      </w:divBdr>
    </w:div>
    <w:div w:id="447354215">
      <w:bodyDiv w:val="1"/>
      <w:marLeft w:val="0"/>
      <w:marRight w:val="0"/>
      <w:marTop w:val="0"/>
      <w:marBottom w:val="0"/>
      <w:divBdr>
        <w:top w:val="none" w:sz="0" w:space="0" w:color="auto"/>
        <w:left w:val="none" w:sz="0" w:space="0" w:color="auto"/>
        <w:bottom w:val="none" w:sz="0" w:space="0" w:color="auto"/>
        <w:right w:val="none" w:sz="0" w:space="0" w:color="auto"/>
      </w:divBdr>
    </w:div>
    <w:div w:id="451635486">
      <w:bodyDiv w:val="1"/>
      <w:marLeft w:val="0"/>
      <w:marRight w:val="0"/>
      <w:marTop w:val="0"/>
      <w:marBottom w:val="0"/>
      <w:divBdr>
        <w:top w:val="none" w:sz="0" w:space="0" w:color="auto"/>
        <w:left w:val="none" w:sz="0" w:space="0" w:color="auto"/>
        <w:bottom w:val="none" w:sz="0" w:space="0" w:color="auto"/>
        <w:right w:val="none" w:sz="0" w:space="0" w:color="auto"/>
      </w:divBdr>
    </w:div>
    <w:div w:id="455411156">
      <w:bodyDiv w:val="1"/>
      <w:marLeft w:val="0"/>
      <w:marRight w:val="0"/>
      <w:marTop w:val="0"/>
      <w:marBottom w:val="0"/>
      <w:divBdr>
        <w:top w:val="none" w:sz="0" w:space="0" w:color="auto"/>
        <w:left w:val="none" w:sz="0" w:space="0" w:color="auto"/>
        <w:bottom w:val="none" w:sz="0" w:space="0" w:color="auto"/>
        <w:right w:val="none" w:sz="0" w:space="0" w:color="auto"/>
      </w:divBdr>
    </w:div>
    <w:div w:id="457070188">
      <w:bodyDiv w:val="1"/>
      <w:marLeft w:val="0"/>
      <w:marRight w:val="0"/>
      <w:marTop w:val="0"/>
      <w:marBottom w:val="0"/>
      <w:divBdr>
        <w:top w:val="none" w:sz="0" w:space="0" w:color="auto"/>
        <w:left w:val="none" w:sz="0" w:space="0" w:color="auto"/>
        <w:bottom w:val="none" w:sz="0" w:space="0" w:color="auto"/>
        <w:right w:val="none" w:sz="0" w:space="0" w:color="auto"/>
      </w:divBdr>
    </w:div>
    <w:div w:id="459690495">
      <w:bodyDiv w:val="1"/>
      <w:marLeft w:val="0"/>
      <w:marRight w:val="0"/>
      <w:marTop w:val="0"/>
      <w:marBottom w:val="0"/>
      <w:divBdr>
        <w:top w:val="none" w:sz="0" w:space="0" w:color="auto"/>
        <w:left w:val="none" w:sz="0" w:space="0" w:color="auto"/>
        <w:bottom w:val="none" w:sz="0" w:space="0" w:color="auto"/>
        <w:right w:val="none" w:sz="0" w:space="0" w:color="auto"/>
      </w:divBdr>
    </w:div>
    <w:div w:id="461964645">
      <w:bodyDiv w:val="1"/>
      <w:marLeft w:val="0"/>
      <w:marRight w:val="0"/>
      <w:marTop w:val="0"/>
      <w:marBottom w:val="0"/>
      <w:divBdr>
        <w:top w:val="none" w:sz="0" w:space="0" w:color="auto"/>
        <w:left w:val="none" w:sz="0" w:space="0" w:color="auto"/>
        <w:bottom w:val="none" w:sz="0" w:space="0" w:color="auto"/>
        <w:right w:val="none" w:sz="0" w:space="0" w:color="auto"/>
      </w:divBdr>
    </w:div>
    <w:div w:id="464201582">
      <w:bodyDiv w:val="1"/>
      <w:marLeft w:val="0"/>
      <w:marRight w:val="0"/>
      <w:marTop w:val="0"/>
      <w:marBottom w:val="0"/>
      <w:divBdr>
        <w:top w:val="none" w:sz="0" w:space="0" w:color="auto"/>
        <w:left w:val="none" w:sz="0" w:space="0" w:color="auto"/>
        <w:bottom w:val="none" w:sz="0" w:space="0" w:color="auto"/>
        <w:right w:val="none" w:sz="0" w:space="0" w:color="auto"/>
      </w:divBdr>
    </w:div>
    <w:div w:id="470489479">
      <w:bodyDiv w:val="1"/>
      <w:marLeft w:val="0"/>
      <w:marRight w:val="0"/>
      <w:marTop w:val="0"/>
      <w:marBottom w:val="0"/>
      <w:divBdr>
        <w:top w:val="none" w:sz="0" w:space="0" w:color="auto"/>
        <w:left w:val="none" w:sz="0" w:space="0" w:color="auto"/>
        <w:bottom w:val="none" w:sz="0" w:space="0" w:color="auto"/>
        <w:right w:val="none" w:sz="0" w:space="0" w:color="auto"/>
      </w:divBdr>
    </w:div>
    <w:div w:id="475800418">
      <w:bodyDiv w:val="1"/>
      <w:marLeft w:val="0"/>
      <w:marRight w:val="0"/>
      <w:marTop w:val="0"/>
      <w:marBottom w:val="0"/>
      <w:divBdr>
        <w:top w:val="none" w:sz="0" w:space="0" w:color="auto"/>
        <w:left w:val="none" w:sz="0" w:space="0" w:color="auto"/>
        <w:bottom w:val="none" w:sz="0" w:space="0" w:color="auto"/>
        <w:right w:val="none" w:sz="0" w:space="0" w:color="auto"/>
      </w:divBdr>
    </w:div>
    <w:div w:id="480854431">
      <w:bodyDiv w:val="1"/>
      <w:marLeft w:val="0"/>
      <w:marRight w:val="0"/>
      <w:marTop w:val="0"/>
      <w:marBottom w:val="0"/>
      <w:divBdr>
        <w:top w:val="none" w:sz="0" w:space="0" w:color="auto"/>
        <w:left w:val="none" w:sz="0" w:space="0" w:color="auto"/>
        <w:bottom w:val="none" w:sz="0" w:space="0" w:color="auto"/>
        <w:right w:val="none" w:sz="0" w:space="0" w:color="auto"/>
      </w:divBdr>
    </w:div>
    <w:div w:id="482476523">
      <w:bodyDiv w:val="1"/>
      <w:marLeft w:val="0"/>
      <w:marRight w:val="0"/>
      <w:marTop w:val="0"/>
      <w:marBottom w:val="0"/>
      <w:divBdr>
        <w:top w:val="none" w:sz="0" w:space="0" w:color="auto"/>
        <w:left w:val="none" w:sz="0" w:space="0" w:color="auto"/>
        <w:bottom w:val="none" w:sz="0" w:space="0" w:color="auto"/>
        <w:right w:val="none" w:sz="0" w:space="0" w:color="auto"/>
      </w:divBdr>
    </w:div>
    <w:div w:id="484473118">
      <w:bodyDiv w:val="1"/>
      <w:marLeft w:val="0"/>
      <w:marRight w:val="0"/>
      <w:marTop w:val="0"/>
      <w:marBottom w:val="0"/>
      <w:divBdr>
        <w:top w:val="none" w:sz="0" w:space="0" w:color="auto"/>
        <w:left w:val="none" w:sz="0" w:space="0" w:color="auto"/>
        <w:bottom w:val="none" w:sz="0" w:space="0" w:color="auto"/>
        <w:right w:val="none" w:sz="0" w:space="0" w:color="auto"/>
      </w:divBdr>
    </w:div>
    <w:div w:id="487019043">
      <w:bodyDiv w:val="1"/>
      <w:marLeft w:val="0"/>
      <w:marRight w:val="0"/>
      <w:marTop w:val="0"/>
      <w:marBottom w:val="0"/>
      <w:divBdr>
        <w:top w:val="none" w:sz="0" w:space="0" w:color="auto"/>
        <w:left w:val="none" w:sz="0" w:space="0" w:color="auto"/>
        <w:bottom w:val="none" w:sz="0" w:space="0" w:color="auto"/>
        <w:right w:val="none" w:sz="0" w:space="0" w:color="auto"/>
      </w:divBdr>
    </w:div>
    <w:div w:id="490562512">
      <w:bodyDiv w:val="1"/>
      <w:marLeft w:val="0"/>
      <w:marRight w:val="0"/>
      <w:marTop w:val="0"/>
      <w:marBottom w:val="0"/>
      <w:divBdr>
        <w:top w:val="none" w:sz="0" w:space="0" w:color="auto"/>
        <w:left w:val="none" w:sz="0" w:space="0" w:color="auto"/>
        <w:bottom w:val="none" w:sz="0" w:space="0" w:color="auto"/>
        <w:right w:val="none" w:sz="0" w:space="0" w:color="auto"/>
      </w:divBdr>
    </w:div>
    <w:div w:id="490802035">
      <w:bodyDiv w:val="1"/>
      <w:marLeft w:val="0"/>
      <w:marRight w:val="0"/>
      <w:marTop w:val="0"/>
      <w:marBottom w:val="0"/>
      <w:divBdr>
        <w:top w:val="none" w:sz="0" w:space="0" w:color="auto"/>
        <w:left w:val="none" w:sz="0" w:space="0" w:color="auto"/>
        <w:bottom w:val="none" w:sz="0" w:space="0" w:color="auto"/>
        <w:right w:val="none" w:sz="0" w:space="0" w:color="auto"/>
      </w:divBdr>
    </w:div>
    <w:div w:id="490945348">
      <w:bodyDiv w:val="1"/>
      <w:marLeft w:val="0"/>
      <w:marRight w:val="0"/>
      <w:marTop w:val="0"/>
      <w:marBottom w:val="0"/>
      <w:divBdr>
        <w:top w:val="none" w:sz="0" w:space="0" w:color="auto"/>
        <w:left w:val="none" w:sz="0" w:space="0" w:color="auto"/>
        <w:bottom w:val="none" w:sz="0" w:space="0" w:color="auto"/>
        <w:right w:val="none" w:sz="0" w:space="0" w:color="auto"/>
      </w:divBdr>
    </w:div>
    <w:div w:id="496700622">
      <w:bodyDiv w:val="1"/>
      <w:marLeft w:val="0"/>
      <w:marRight w:val="0"/>
      <w:marTop w:val="0"/>
      <w:marBottom w:val="0"/>
      <w:divBdr>
        <w:top w:val="none" w:sz="0" w:space="0" w:color="auto"/>
        <w:left w:val="none" w:sz="0" w:space="0" w:color="auto"/>
        <w:bottom w:val="none" w:sz="0" w:space="0" w:color="auto"/>
        <w:right w:val="none" w:sz="0" w:space="0" w:color="auto"/>
      </w:divBdr>
    </w:div>
    <w:div w:id="502087993">
      <w:bodyDiv w:val="1"/>
      <w:marLeft w:val="0"/>
      <w:marRight w:val="0"/>
      <w:marTop w:val="0"/>
      <w:marBottom w:val="0"/>
      <w:divBdr>
        <w:top w:val="none" w:sz="0" w:space="0" w:color="auto"/>
        <w:left w:val="none" w:sz="0" w:space="0" w:color="auto"/>
        <w:bottom w:val="none" w:sz="0" w:space="0" w:color="auto"/>
        <w:right w:val="none" w:sz="0" w:space="0" w:color="auto"/>
      </w:divBdr>
    </w:div>
    <w:div w:id="503931906">
      <w:bodyDiv w:val="1"/>
      <w:marLeft w:val="0"/>
      <w:marRight w:val="0"/>
      <w:marTop w:val="0"/>
      <w:marBottom w:val="0"/>
      <w:divBdr>
        <w:top w:val="none" w:sz="0" w:space="0" w:color="auto"/>
        <w:left w:val="none" w:sz="0" w:space="0" w:color="auto"/>
        <w:bottom w:val="none" w:sz="0" w:space="0" w:color="auto"/>
        <w:right w:val="none" w:sz="0" w:space="0" w:color="auto"/>
      </w:divBdr>
    </w:div>
    <w:div w:id="504367297">
      <w:bodyDiv w:val="1"/>
      <w:marLeft w:val="0"/>
      <w:marRight w:val="0"/>
      <w:marTop w:val="0"/>
      <w:marBottom w:val="0"/>
      <w:divBdr>
        <w:top w:val="none" w:sz="0" w:space="0" w:color="auto"/>
        <w:left w:val="none" w:sz="0" w:space="0" w:color="auto"/>
        <w:bottom w:val="none" w:sz="0" w:space="0" w:color="auto"/>
        <w:right w:val="none" w:sz="0" w:space="0" w:color="auto"/>
      </w:divBdr>
    </w:div>
    <w:div w:id="507713906">
      <w:bodyDiv w:val="1"/>
      <w:marLeft w:val="0"/>
      <w:marRight w:val="0"/>
      <w:marTop w:val="0"/>
      <w:marBottom w:val="0"/>
      <w:divBdr>
        <w:top w:val="none" w:sz="0" w:space="0" w:color="auto"/>
        <w:left w:val="none" w:sz="0" w:space="0" w:color="auto"/>
        <w:bottom w:val="none" w:sz="0" w:space="0" w:color="auto"/>
        <w:right w:val="none" w:sz="0" w:space="0" w:color="auto"/>
      </w:divBdr>
    </w:div>
    <w:div w:id="508102909">
      <w:bodyDiv w:val="1"/>
      <w:marLeft w:val="0"/>
      <w:marRight w:val="0"/>
      <w:marTop w:val="0"/>
      <w:marBottom w:val="0"/>
      <w:divBdr>
        <w:top w:val="none" w:sz="0" w:space="0" w:color="auto"/>
        <w:left w:val="none" w:sz="0" w:space="0" w:color="auto"/>
        <w:bottom w:val="none" w:sz="0" w:space="0" w:color="auto"/>
        <w:right w:val="none" w:sz="0" w:space="0" w:color="auto"/>
      </w:divBdr>
    </w:div>
    <w:div w:id="508299349">
      <w:bodyDiv w:val="1"/>
      <w:marLeft w:val="0"/>
      <w:marRight w:val="0"/>
      <w:marTop w:val="0"/>
      <w:marBottom w:val="0"/>
      <w:divBdr>
        <w:top w:val="none" w:sz="0" w:space="0" w:color="auto"/>
        <w:left w:val="none" w:sz="0" w:space="0" w:color="auto"/>
        <w:bottom w:val="none" w:sz="0" w:space="0" w:color="auto"/>
        <w:right w:val="none" w:sz="0" w:space="0" w:color="auto"/>
      </w:divBdr>
    </w:div>
    <w:div w:id="517545386">
      <w:bodyDiv w:val="1"/>
      <w:marLeft w:val="0"/>
      <w:marRight w:val="0"/>
      <w:marTop w:val="0"/>
      <w:marBottom w:val="0"/>
      <w:divBdr>
        <w:top w:val="none" w:sz="0" w:space="0" w:color="auto"/>
        <w:left w:val="none" w:sz="0" w:space="0" w:color="auto"/>
        <w:bottom w:val="none" w:sz="0" w:space="0" w:color="auto"/>
        <w:right w:val="none" w:sz="0" w:space="0" w:color="auto"/>
      </w:divBdr>
    </w:div>
    <w:div w:id="522746614">
      <w:bodyDiv w:val="1"/>
      <w:marLeft w:val="0"/>
      <w:marRight w:val="0"/>
      <w:marTop w:val="0"/>
      <w:marBottom w:val="0"/>
      <w:divBdr>
        <w:top w:val="none" w:sz="0" w:space="0" w:color="auto"/>
        <w:left w:val="none" w:sz="0" w:space="0" w:color="auto"/>
        <w:bottom w:val="none" w:sz="0" w:space="0" w:color="auto"/>
        <w:right w:val="none" w:sz="0" w:space="0" w:color="auto"/>
      </w:divBdr>
    </w:div>
    <w:div w:id="523519854">
      <w:bodyDiv w:val="1"/>
      <w:marLeft w:val="0"/>
      <w:marRight w:val="0"/>
      <w:marTop w:val="0"/>
      <w:marBottom w:val="0"/>
      <w:divBdr>
        <w:top w:val="none" w:sz="0" w:space="0" w:color="auto"/>
        <w:left w:val="none" w:sz="0" w:space="0" w:color="auto"/>
        <w:bottom w:val="none" w:sz="0" w:space="0" w:color="auto"/>
        <w:right w:val="none" w:sz="0" w:space="0" w:color="auto"/>
      </w:divBdr>
    </w:div>
    <w:div w:id="527185153">
      <w:bodyDiv w:val="1"/>
      <w:marLeft w:val="0"/>
      <w:marRight w:val="0"/>
      <w:marTop w:val="0"/>
      <w:marBottom w:val="0"/>
      <w:divBdr>
        <w:top w:val="none" w:sz="0" w:space="0" w:color="auto"/>
        <w:left w:val="none" w:sz="0" w:space="0" w:color="auto"/>
        <w:bottom w:val="none" w:sz="0" w:space="0" w:color="auto"/>
        <w:right w:val="none" w:sz="0" w:space="0" w:color="auto"/>
      </w:divBdr>
    </w:div>
    <w:div w:id="531379031">
      <w:bodyDiv w:val="1"/>
      <w:marLeft w:val="0"/>
      <w:marRight w:val="0"/>
      <w:marTop w:val="0"/>
      <w:marBottom w:val="0"/>
      <w:divBdr>
        <w:top w:val="none" w:sz="0" w:space="0" w:color="auto"/>
        <w:left w:val="none" w:sz="0" w:space="0" w:color="auto"/>
        <w:bottom w:val="none" w:sz="0" w:space="0" w:color="auto"/>
        <w:right w:val="none" w:sz="0" w:space="0" w:color="auto"/>
      </w:divBdr>
    </w:div>
    <w:div w:id="533075608">
      <w:bodyDiv w:val="1"/>
      <w:marLeft w:val="0"/>
      <w:marRight w:val="0"/>
      <w:marTop w:val="0"/>
      <w:marBottom w:val="0"/>
      <w:divBdr>
        <w:top w:val="none" w:sz="0" w:space="0" w:color="auto"/>
        <w:left w:val="none" w:sz="0" w:space="0" w:color="auto"/>
        <w:bottom w:val="none" w:sz="0" w:space="0" w:color="auto"/>
        <w:right w:val="none" w:sz="0" w:space="0" w:color="auto"/>
      </w:divBdr>
    </w:div>
    <w:div w:id="534005248">
      <w:bodyDiv w:val="1"/>
      <w:marLeft w:val="0"/>
      <w:marRight w:val="0"/>
      <w:marTop w:val="0"/>
      <w:marBottom w:val="0"/>
      <w:divBdr>
        <w:top w:val="none" w:sz="0" w:space="0" w:color="auto"/>
        <w:left w:val="none" w:sz="0" w:space="0" w:color="auto"/>
        <w:bottom w:val="none" w:sz="0" w:space="0" w:color="auto"/>
        <w:right w:val="none" w:sz="0" w:space="0" w:color="auto"/>
      </w:divBdr>
    </w:div>
    <w:div w:id="535506217">
      <w:bodyDiv w:val="1"/>
      <w:marLeft w:val="0"/>
      <w:marRight w:val="0"/>
      <w:marTop w:val="0"/>
      <w:marBottom w:val="0"/>
      <w:divBdr>
        <w:top w:val="none" w:sz="0" w:space="0" w:color="auto"/>
        <w:left w:val="none" w:sz="0" w:space="0" w:color="auto"/>
        <w:bottom w:val="none" w:sz="0" w:space="0" w:color="auto"/>
        <w:right w:val="none" w:sz="0" w:space="0" w:color="auto"/>
      </w:divBdr>
    </w:div>
    <w:div w:id="539557929">
      <w:bodyDiv w:val="1"/>
      <w:marLeft w:val="0"/>
      <w:marRight w:val="0"/>
      <w:marTop w:val="0"/>
      <w:marBottom w:val="0"/>
      <w:divBdr>
        <w:top w:val="none" w:sz="0" w:space="0" w:color="auto"/>
        <w:left w:val="none" w:sz="0" w:space="0" w:color="auto"/>
        <w:bottom w:val="none" w:sz="0" w:space="0" w:color="auto"/>
        <w:right w:val="none" w:sz="0" w:space="0" w:color="auto"/>
      </w:divBdr>
    </w:div>
    <w:div w:id="545414014">
      <w:bodyDiv w:val="1"/>
      <w:marLeft w:val="0"/>
      <w:marRight w:val="0"/>
      <w:marTop w:val="0"/>
      <w:marBottom w:val="0"/>
      <w:divBdr>
        <w:top w:val="none" w:sz="0" w:space="0" w:color="auto"/>
        <w:left w:val="none" w:sz="0" w:space="0" w:color="auto"/>
        <w:bottom w:val="none" w:sz="0" w:space="0" w:color="auto"/>
        <w:right w:val="none" w:sz="0" w:space="0" w:color="auto"/>
      </w:divBdr>
    </w:div>
    <w:div w:id="550774623">
      <w:bodyDiv w:val="1"/>
      <w:marLeft w:val="0"/>
      <w:marRight w:val="0"/>
      <w:marTop w:val="0"/>
      <w:marBottom w:val="0"/>
      <w:divBdr>
        <w:top w:val="none" w:sz="0" w:space="0" w:color="auto"/>
        <w:left w:val="none" w:sz="0" w:space="0" w:color="auto"/>
        <w:bottom w:val="none" w:sz="0" w:space="0" w:color="auto"/>
        <w:right w:val="none" w:sz="0" w:space="0" w:color="auto"/>
      </w:divBdr>
    </w:div>
    <w:div w:id="553855777">
      <w:bodyDiv w:val="1"/>
      <w:marLeft w:val="0"/>
      <w:marRight w:val="0"/>
      <w:marTop w:val="0"/>
      <w:marBottom w:val="0"/>
      <w:divBdr>
        <w:top w:val="none" w:sz="0" w:space="0" w:color="auto"/>
        <w:left w:val="none" w:sz="0" w:space="0" w:color="auto"/>
        <w:bottom w:val="none" w:sz="0" w:space="0" w:color="auto"/>
        <w:right w:val="none" w:sz="0" w:space="0" w:color="auto"/>
      </w:divBdr>
    </w:div>
    <w:div w:id="554003902">
      <w:bodyDiv w:val="1"/>
      <w:marLeft w:val="0"/>
      <w:marRight w:val="0"/>
      <w:marTop w:val="0"/>
      <w:marBottom w:val="0"/>
      <w:divBdr>
        <w:top w:val="none" w:sz="0" w:space="0" w:color="auto"/>
        <w:left w:val="none" w:sz="0" w:space="0" w:color="auto"/>
        <w:bottom w:val="none" w:sz="0" w:space="0" w:color="auto"/>
        <w:right w:val="none" w:sz="0" w:space="0" w:color="auto"/>
      </w:divBdr>
    </w:div>
    <w:div w:id="554969290">
      <w:bodyDiv w:val="1"/>
      <w:marLeft w:val="0"/>
      <w:marRight w:val="0"/>
      <w:marTop w:val="0"/>
      <w:marBottom w:val="0"/>
      <w:divBdr>
        <w:top w:val="none" w:sz="0" w:space="0" w:color="auto"/>
        <w:left w:val="none" w:sz="0" w:space="0" w:color="auto"/>
        <w:bottom w:val="none" w:sz="0" w:space="0" w:color="auto"/>
        <w:right w:val="none" w:sz="0" w:space="0" w:color="auto"/>
      </w:divBdr>
    </w:div>
    <w:div w:id="557254176">
      <w:bodyDiv w:val="1"/>
      <w:marLeft w:val="0"/>
      <w:marRight w:val="0"/>
      <w:marTop w:val="0"/>
      <w:marBottom w:val="0"/>
      <w:divBdr>
        <w:top w:val="none" w:sz="0" w:space="0" w:color="auto"/>
        <w:left w:val="none" w:sz="0" w:space="0" w:color="auto"/>
        <w:bottom w:val="none" w:sz="0" w:space="0" w:color="auto"/>
        <w:right w:val="none" w:sz="0" w:space="0" w:color="auto"/>
      </w:divBdr>
    </w:div>
    <w:div w:id="560361076">
      <w:bodyDiv w:val="1"/>
      <w:marLeft w:val="0"/>
      <w:marRight w:val="0"/>
      <w:marTop w:val="0"/>
      <w:marBottom w:val="0"/>
      <w:divBdr>
        <w:top w:val="none" w:sz="0" w:space="0" w:color="auto"/>
        <w:left w:val="none" w:sz="0" w:space="0" w:color="auto"/>
        <w:bottom w:val="none" w:sz="0" w:space="0" w:color="auto"/>
        <w:right w:val="none" w:sz="0" w:space="0" w:color="auto"/>
      </w:divBdr>
    </w:div>
    <w:div w:id="565068890">
      <w:bodyDiv w:val="1"/>
      <w:marLeft w:val="0"/>
      <w:marRight w:val="0"/>
      <w:marTop w:val="0"/>
      <w:marBottom w:val="0"/>
      <w:divBdr>
        <w:top w:val="none" w:sz="0" w:space="0" w:color="auto"/>
        <w:left w:val="none" w:sz="0" w:space="0" w:color="auto"/>
        <w:bottom w:val="none" w:sz="0" w:space="0" w:color="auto"/>
        <w:right w:val="none" w:sz="0" w:space="0" w:color="auto"/>
      </w:divBdr>
    </w:div>
    <w:div w:id="573391818">
      <w:bodyDiv w:val="1"/>
      <w:marLeft w:val="0"/>
      <w:marRight w:val="0"/>
      <w:marTop w:val="0"/>
      <w:marBottom w:val="0"/>
      <w:divBdr>
        <w:top w:val="none" w:sz="0" w:space="0" w:color="auto"/>
        <w:left w:val="none" w:sz="0" w:space="0" w:color="auto"/>
        <w:bottom w:val="none" w:sz="0" w:space="0" w:color="auto"/>
        <w:right w:val="none" w:sz="0" w:space="0" w:color="auto"/>
      </w:divBdr>
    </w:div>
    <w:div w:id="576524651">
      <w:bodyDiv w:val="1"/>
      <w:marLeft w:val="0"/>
      <w:marRight w:val="0"/>
      <w:marTop w:val="0"/>
      <w:marBottom w:val="0"/>
      <w:divBdr>
        <w:top w:val="none" w:sz="0" w:space="0" w:color="auto"/>
        <w:left w:val="none" w:sz="0" w:space="0" w:color="auto"/>
        <w:bottom w:val="none" w:sz="0" w:space="0" w:color="auto"/>
        <w:right w:val="none" w:sz="0" w:space="0" w:color="auto"/>
      </w:divBdr>
    </w:div>
    <w:div w:id="584074776">
      <w:bodyDiv w:val="1"/>
      <w:marLeft w:val="0"/>
      <w:marRight w:val="0"/>
      <w:marTop w:val="0"/>
      <w:marBottom w:val="0"/>
      <w:divBdr>
        <w:top w:val="none" w:sz="0" w:space="0" w:color="auto"/>
        <w:left w:val="none" w:sz="0" w:space="0" w:color="auto"/>
        <w:bottom w:val="none" w:sz="0" w:space="0" w:color="auto"/>
        <w:right w:val="none" w:sz="0" w:space="0" w:color="auto"/>
      </w:divBdr>
    </w:div>
    <w:div w:id="587542628">
      <w:bodyDiv w:val="1"/>
      <w:marLeft w:val="0"/>
      <w:marRight w:val="0"/>
      <w:marTop w:val="0"/>
      <w:marBottom w:val="0"/>
      <w:divBdr>
        <w:top w:val="none" w:sz="0" w:space="0" w:color="auto"/>
        <w:left w:val="none" w:sz="0" w:space="0" w:color="auto"/>
        <w:bottom w:val="none" w:sz="0" w:space="0" w:color="auto"/>
        <w:right w:val="none" w:sz="0" w:space="0" w:color="auto"/>
      </w:divBdr>
    </w:div>
    <w:div w:id="588197011">
      <w:bodyDiv w:val="1"/>
      <w:marLeft w:val="0"/>
      <w:marRight w:val="0"/>
      <w:marTop w:val="0"/>
      <w:marBottom w:val="0"/>
      <w:divBdr>
        <w:top w:val="none" w:sz="0" w:space="0" w:color="auto"/>
        <w:left w:val="none" w:sz="0" w:space="0" w:color="auto"/>
        <w:bottom w:val="none" w:sz="0" w:space="0" w:color="auto"/>
        <w:right w:val="none" w:sz="0" w:space="0" w:color="auto"/>
      </w:divBdr>
    </w:div>
    <w:div w:id="590042891">
      <w:bodyDiv w:val="1"/>
      <w:marLeft w:val="0"/>
      <w:marRight w:val="0"/>
      <w:marTop w:val="0"/>
      <w:marBottom w:val="0"/>
      <w:divBdr>
        <w:top w:val="none" w:sz="0" w:space="0" w:color="auto"/>
        <w:left w:val="none" w:sz="0" w:space="0" w:color="auto"/>
        <w:bottom w:val="none" w:sz="0" w:space="0" w:color="auto"/>
        <w:right w:val="none" w:sz="0" w:space="0" w:color="auto"/>
      </w:divBdr>
    </w:div>
    <w:div w:id="592666719">
      <w:bodyDiv w:val="1"/>
      <w:marLeft w:val="0"/>
      <w:marRight w:val="0"/>
      <w:marTop w:val="0"/>
      <w:marBottom w:val="0"/>
      <w:divBdr>
        <w:top w:val="none" w:sz="0" w:space="0" w:color="auto"/>
        <w:left w:val="none" w:sz="0" w:space="0" w:color="auto"/>
        <w:bottom w:val="none" w:sz="0" w:space="0" w:color="auto"/>
        <w:right w:val="none" w:sz="0" w:space="0" w:color="auto"/>
      </w:divBdr>
    </w:div>
    <w:div w:id="595330687">
      <w:bodyDiv w:val="1"/>
      <w:marLeft w:val="0"/>
      <w:marRight w:val="0"/>
      <w:marTop w:val="0"/>
      <w:marBottom w:val="0"/>
      <w:divBdr>
        <w:top w:val="none" w:sz="0" w:space="0" w:color="auto"/>
        <w:left w:val="none" w:sz="0" w:space="0" w:color="auto"/>
        <w:bottom w:val="none" w:sz="0" w:space="0" w:color="auto"/>
        <w:right w:val="none" w:sz="0" w:space="0" w:color="auto"/>
      </w:divBdr>
    </w:div>
    <w:div w:id="601957597">
      <w:bodyDiv w:val="1"/>
      <w:marLeft w:val="0"/>
      <w:marRight w:val="0"/>
      <w:marTop w:val="0"/>
      <w:marBottom w:val="0"/>
      <w:divBdr>
        <w:top w:val="none" w:sz="0" w:space="0" w:color="auto"/>
        <w:left w:val="none" w:sz="0" w:space="0" w:color="auto"/>
        <w:bottom w:val="none" w:sz="0" w:space="0" w:color="auto"/>
        <w:right w:val="none" w:sz="0" w:space="0" w:color="auto"/>
      </w:divBdr>
    </w:div>
    <w:div w:id="603418498">
      <w:bodyDiv w:val="1"/>
      <w:marLeft w:val="0"/>
      <w:marRight w:val="0"/>
      <w:marTop w:val="0"/>
      <w:marBottom w:val="0"/>
      <w:divBdr>
        <w:top w:val="none" w:sz="0" w:space="0" w:color="auto"/>
        <w:left w:val="none" w:sz="0" w:space="0" w:color="auto"/>
        <w:bottom w:val="none" w:sz="0" w:space="0" w:color="auto"/>
        <w:right w:val="none" w:sz="0" w:space="0" w:color="auto"/>
      </w:divBdr>
    </w:div>
    <w:div w:id="611670815">
      <w:bodyDiv w:val="1"/>
      <w:marLeft w:val="0"/>
      <w:marRight w:val="0"/>
      <w:marTop w:val="0"/>
      <w:marBottom w:val="0"/>
      <w:divBdr>
        <w:top w:val="none" w:sz="0" w:space="0" w:color="auto"/>
        <w:left w:val="none" w:sz="0" w:space="0" w:color="auto"/>
        <w:bottom w:val="none" w:sz="0" w:space="0" w:color="auto"/>
        <w:right w:val="none" w:sz="0" w:space="0" w:color="auto"/>
      </w:divBdr>
    </w:div>
    <w:div w:id="612828743">
      <w:bodyDiv w:val="1"/>
      <w:marLeft w:val="0"/>
      <w:marRight w:val="0"/>
      <w:marTop w:val="0"/>
      <w:marBottom w:val="0"/>
      <w:divBdr>
        <w:top w:val="none" w:sz="0" w:space="0" w:color="auto"/>
        <w:left w:val="none" w:sz="0" w:space="0" w:color="auto"/>
        <w:bottom w:val="none" w:sz="0" w:space="0" w:color="auto"/>
        <w:right w:val="none" w:sz="0" w:space="0" w:color="auto"/>
      </w:divBdr>
    </w:div>
    <w:div w:id="617836786">
      <w:bodyDiv w:val="1"/>
      <w:marLeft w:val="0"/>
      <w:marRight w:val="0"/>
      <w:marTop w:val="0"/>
      <w:marBottom w:val="0"/>
      <w:divBdr>
        <w:top w:val="none" w:sz="0" w:space="0" w:color="auto"/>
        <w:left w:val="none" w:sz="0" w:space="0" w:color="auto"/>
        <w:bottom w:val="none" w:sz="0" w:space="0" w:color="auto"/>
        <w:right w:val="none" w:sz="0" w:space="0" w:color="auto"/>
      </w:divBdr>
    </w:div>
    <w:div w:id="618146283">
      <w:bodyDiv w:val="1"/>
      <w:marLeft w:val="0"/>
      <w:marRight w:val="0"/>
      <w:marTop w:val="0"/>
      <w:marBottom w:val="0"/>
      <w:divBdr>
        <w:top w:val="none" w:sz="0" w:space="0" w:color="auto"/>
        <w:left w:val="none" w:sz="0" w:space="0" w:color="auto"/>
        <w:bottom w:val="none" w:sz="0" w:space="0" w:color="auto"/>
        <w:right w:val="none" w:sz="0" w:space="0" w:color="auto"/>
      </w:divBdr>
    </w:div>
    <w:div w:id="622538638">
      <w:bodyDiv w:val="1"/>
      <w:marLeft w:val="0"/>
      <w:marRight w:val="0"/>
      <w:marTop w:val="0"/>
      <w:marBottom w:val="0"/>
      <w:divBdr>
        <w:top w:val="none" w:sz="0" w:space="0" w:color="auto"/>
        <w:left w:val="none" w:sz="0" w:space="0" w:color="auto"/>
        <w:bottom w:val="none" w:sz="0" w:space="0" w:color="auto"/>
        <w:right w:val="none" w:sz="0" w:space="0" w:color="auto"/>
      </w:divBdr>
    </w:div>
    <w:div w:id="624166984">
      <w:bodyDiv w:val="1"/>
      <w:marLeft w:val="0"/>
      <w:marRight w:val="0"/>
      <w:marTop w:val="0"/>
      <w:marBottom w:val="0"/>
      <w:divBdr>
        <w:top w:val="none" w:sz="0" w:space="0" w:color="auto"/>
        <w:left w:val="none" w:sz="0" w:space="0" w:color="auto"/>
        <w:bottom w:val="none" w:sz="0" w:space="0" w:color="auto"/>
        <w:right w:val="none" w:sz="0" w:space="0" w:color="auto"/>
      </w:divBdr>
    </w:div>
    <w:div w:id="630138287">
      <w:bodyDiv w:val="1"/>
      <w:marLeft w:val="0"/>
      <w:marRight w:val="0"/>
      <w:marTop w:val="0"/>
      <w:marBottom w:val="0"/>
      <w:divBdr>
        <w:top w:val="none" w:sz="0" w:space="0" w:color="auto"/>
        <w:left w:val="none" w:sz="0" w:space="0" w:color="auto"/>
        <w:bottom w:val="none" w:sz="0" w:space="0" w:color="auto"/>
        <w:right w:val="none" w:sz="0" w:space="0" w:color="auto"/>
      </w:divBdr>
    </w:div>
    <w:div w:id="635917462">
      <w:bodyDiv w:val="1"/>
      <w:marLeft w:val="0"/>
      <w:marRight w:val="0"/>
      <w:marTop w:val="0"/>
      <w:marBottom w:val="0"/>
      <w:divBdr>
        <w:top w:val="none" w:sz="0" w:space="0" w:color="auto"/>
        <w:left w:val="none" w:sz="0" w:space="0" w:color="auto"/>
        <w:bottom w:val="none" w:sz="0" w:space="0" w:color="auto"/>
        <w:right w:val="none" w:sz="0" w:space="0" w:color="auto"/>
      </w:divBdr>
    </w:div>
    <w:div w:id="644745532">
      <w:bodyDiv w:val="1"/>
      <w:marLeft w:val="0"/>
      <w:marRight w:val="0"/>
      <w:marTop w:val="0"/>
      <w:marBottom w:val="0"/>
      <w:divBdr>
        <w:top w:val="none" w:sz="0" w:space="0" w:color="auto"/>
        <w:left w:val="none" w:sz="0" w:space="0" w:color="auto"/>
        <w:bottom w:val="none" w:sz="0" w:space="0" w:color="auto"/>
        <w:right w:val="none" w:sz="0" w:space="0" w:color="auto"/>
      </w:divBdr>
    </w:div>
    <w:div w:id="649552580">
      <w:bodyDiv w:val="1"/>
      <w:marLeft w:val="0"/>
      <w:marRight w:val="0"/>
      <w:marTop w:val="0"/>
      <w:marBottom w:val="0"/>
      <w:divBdr>
        <w:top w:val="none" w:sz="0" w:space="0" w:color="auto"/>
        <w:left w:val="none" w:sz="0" w:space="0" w:color="auto"/>
        <w:bottom w:val="none" w:sz="0" w:space="0" w:color="auto"/>
        <w:right w:val="none" w:sz="0" w:space="0" w:color="auto"/>
      </w:divBdr>
    </w:div>
    <w:div w:id="650526857">
      <w:bodyDiv w:val="1"/>
      <w:marLeft w:val="0"/>
      <w:marRight w:val="0"/>
      <w:marTop w:val="0"/>
      <w:marBottom w:val="0"/>
      <w:divBdr>
        <w:top w:val="none" w:sz="0" w:space="0" w:color="auto"/>
        <w:left w:val="none" w:sz="0" w:space="0" w:color="auto"/>
        <w:bottom w:val="none" w:sz="0" w:space="0" w:color="auto"/>
        <w:right w:val="none" w:sz="0" w:space="0" w:color="auto"/>
      </w:divBdr>
    </w:div>
    <w:div w:id="655768125">
      <w:bodyDiv w:val="1"/>
      <w:marLeft w:val="0"/>
      <w:marRight w:val="0"/>
      <w:marTop w:val="0"/>
      <w:marBottom w:val="0"/>
      <w:divBdr>
        <w:top w:val="none" w:sz="0" w:space="0" w:color="auto"/>
        <w:left w:val="none" w:sz="0" w:space="0" w:color="auto"/>
        <w:bottom w:val="none" w:sz="0" w:space="0" w:color="auto"/>
        <w:right w:val="none" w:sz="0" w:space="0" w:color="auto"/>
      </w:divBdr>
    </w:div>
    <w:div w:id="660424568">
      <w:bodyDiv w:val="1"/>
      <w:marLeft w:val="0"/>
      <w:marRight w:val="0"/>
      <w:marTop w:val="0"/>
      <w:marBottom w:val="0"/>
      <w:divBdr>
        <w:top w:val="none" w:sz="0" w:space="0" w:color="auto"/>
        <w:left w:val="none" w:sz="0" w:space="0" w:color="auto"/>
        <w:bottom w:val="none" w:sz="0" w:space="0" w:color="auto"/>
        <w:right w:val="none" w:sz="0" w:space="0" w:color="auto"/>
      </w:divBdr>
    </w:div>
    <w:div w:id="666251249">
      <w:bodyDiv w:val="1"/>
      <w:marLeft w:val="0"/>
      <w:marRight w:val="0"/>
      <w:marTop w:val="0"/>
      <w:marBottom w:val="0"/>
      <w:divBdr>
        <w:top w:val="none" w:sz="0" w:space="0" w:color="auto"/>
        <w:left w:val="none" w:sz="0" w:space="0" w:color="auto"/>
        <w:bottom w:val="none" w:sz="0" w:space="0" w:color="auto"/>
        <w:right w:val="none" w:sz="0" w:space="0" w:color="auto"/>
      </w:divBdr>
    </w:div>
    <w:div w:id="675380442">
      <w:bodyDiv w:val="1"/>
      <w:marLeft w:val="0"/>
      <w:marRight w:val="0"/>
      <w:marTop w:val="0"/>
      <w:marBottom w:val="0"/>
      <w:divBdr>
        <w:top w:val="none" w:sz="0" w:space="0" w:color="auto"/>
        <w:left w:val="none" w:sz="0" w:space="0" w:color="auto"/>
        <w:bottom w:val="none" w:sz="0" w:space="0" w:color="auto"/>
        <w:right w:val="none" w:sz="0" w:space="0" w:color="auto"/>
      </w:divBdr>
    </w:div>
    <w:div w:id="678196612">
      <w:bodyDiv w:val="1"/>
      <w:marLeft w:val="0"/>
      <w:marRight w:val="0"/>
      <w:marTop w:val="0"/>
      <w:marBottom w:val="0"/>
      <w:divBdr>
        <w:top w:val="none" w:sz="0" w:space="0" w:color="auto"/>
        <w:left w:val="none" w:sz="0" w:space="0" w:color="auto"/>
        <w:bottom w:val="none" w:sz="0" w:space="0" w:color="auto"/>
        <w:right w:val="none" w:sz="0" w:space="0" w:color="auto"/>
      </w:divBdr>
    </w:div>
    <w:div w:id="679357712">
      <w:bodyDiv w:val="1"/>
      <w:marLeft w:val="0"/>
      <w:marRight w:val="0"/>
      <w:marTop w:val="0"/>
      <w:marBottom w:val="0"/>
      <w:divBdr>
        <w:top w:val="none" w:sz="0" w:space="0" w:color="auto"/>
        <w:left w:val="none" w:sz="0" w:space="0" w:color="auto"/>
        <w:bottom w:val="none" w:sz="0" w:space="0" w:color="auto"/>
        <w:right w:val="none" w:sz="0" w:space="0" w:color="auto"/>
      </w:divBdr>
    </w:div>
    <w:div w:id="688725361">
      <w:bodyDiv w:val="1"/>
      <w:marLeft w:val="0"/>
      <w:marRight w:val="0"/>
      <w:marTop w:val="0"/>
      <w:marBottom w:val="0"/>
      <w:divBdr>
        <w:top w:val="none" w:sz="0" w:space="0" w:color="auto"/>
        <w:left w:val="none" w:sz="0" w:space="0" w:color="auto"/>
        <w:bottom w:val="none" w:sz="0" w:space="0" w:color="auto"/>
        <w:right w:val="none" w:sz="0" w:space="0" w:color="auto"/>
      </w:divBdr>
    </w:div>
    <w:div w:id="695271966">
      <w:bodyDiv w:val="1"/>
      <w:marLeft w:val="0"/>
      <w:marRight w:val="0"/>
      <w:marTop w:val="0"/>
      <w:marBottom w:val="0"/>
      <w:divBdr>
        <w:top w:val="none" w:sz="0" w:space="0" w:color="auto"/>
        <w:left w:val="none" w:sz="0" w:space="0" w:color="auto"/>
        <w:bottom w:val="none" w:sz="0" w:space="0" w:color="auto"/>
        <w:right w:val="none" w:sz="0" w:space="0" w:color="auto"/>
      </w:divBdr>
    </w:div>
    <w:div w:id="700055861">
      <w:bodyDiv w:val="1"/>
      <w:marLeft w:val="0"/>
      <w:marRight w:val="0"/>
      <w:marTop w:val="0"/>
      <w:marBottom w:val="0"/>
      <w:divBdr>
        <w:top w:val="none" w:sz="0" w:space="0" w:color="auto"/>
        <w:left w:val="none" w:sz="0" w:space="0" w:color="auto"/>
        <w:bottom w:val="none" w:sz="0" w:space="0" w:color="auto"/>
        <w:right w:val="none" w:sz="0" w:space="0" w:color="auto"/>
      </w:divBdr>
    </w:div>
    <w:div w:id="700209547">
      <w:bodyDiv w:val="1"/>
      <w:marLeft w:val="0"/>
      <w:marRight w:val="0"/>
      <w:marTop w:val="0"/>
      <w:marBottom w:val="0"/>
      <w:divBdr>
        <w:top w:val="none" w:sz="0" w:space="0" w:color="auto"/>
        <w:left w:val="none" w:sz="0" w:space="0" w:color="auto"/>
        <w:bottom w:val="none" w:sz="0" w:space="0" w:color="auto"/>
        <w:right w:val="none" w:sz="0" w:space="0" w:color="auto"/>
      </w:divBdr>
    </w:div>
    <w:div w:id="701636718">
      <w:bodyDiv w:val="1"/>
      <w:marLeft w:val="0"/>
      <w:marRight w:val="0"/>
      <w:marTop w:val="0"/>
      <w:marBottom w:val="0"/>
      <w:divBdr>
        <w:top w:val="none" w:sz="0" w:space="0" w:color="auto"/>
        <w:left w:val="none" w:sz="0" w:space="0" w:color="auto"/>
        <w:bottom w:val="none" w:sz="0" w:space="0" w:color="auto"/>
        <w:right w:val="none" w:sz="0" w:space="0" w:color="auto"/>
      </w:divBdr>
    </w:div>
    <w:div w:id="703864918">
      <w:bodyDiv w:val="1"/>
      <w:marLeft w:val="0"/>
      <w:marRight w:val="0"/>
      <w:marTop w:val="0"/>
      <w:marBottom w:val="0"/>
      <w:divBdr>
        <w:top w:val="none" w:sz="0" w:space="0" w:color="auto"/>
        <w:left w:val="none" w:sz="0" w:space="0" w:color="auto"/>
        <w:bottom w:val="none" w:sz="0" w:space="0" w:color="auto"/>
        <w:right w:val="none" w:sz="0" w:space="0" w:color="auto"/>
      </w:divBdr>
    </w:div>
    <w:div w:id="704184808">
      <w:bodyDiv w:val="1"/>
      <w:marLeft w:val="0"/>
      <w:marRight w:val="0"/>
      <w:marTop w:val="0"/>
      <w:marBottom w:val="0"/>
      <w:divBdr>
        <w:top w:val="none" w:sz="0" w:space="0" w:color="auto"/>
        <w:left w:val="none" w:sz="0" w:space="0" w:color="auto"/>
        <w:bottom w:val="none" w:sz="0" w:space="0" w:color="auto"/>
        <w:right w:val="none" w:sz="0" w:space="0" w:color="auto"/>
      </w:divBdr>
    </w:div>
    <w:div w:id="705835082">
      <w:bodyDiv w:val="1"/>
      <w:marLeft w:val="0"/>
      <w:marRight w:val="0"/>
      <w:marTop w:val="0"/>
      <w:marBottom w:val="0"/>
      <w:divBdr>
        <w:top w:val="none" w:sz="0" w:space="0" w:color="auto"/>
        <w:left w:val="none" w:sz="0" w:space="0" w:color="auto"/>
        <w:bottom w:val="none" w:sz="0" w:space="0" w:color="auto"/>
        <w:right w:val="none" w:sz="0" w:space="0" w:color="auto"/>
      </w:divBdr>
    </w:div>
    <w:div w:id="711347825">
      <w:bodyDiv w:val="1"/>
      <w:marLeft w:val="0"/>
      <w:marRight w:val="0"/>
      <w:marTop w:val="0"/>
      <w:marBottom w:val="0"/>
      <w:divBdr>
        <w:top w:val="none" w:sz="0" w:space="0" w:color="auto"/>
        <w:left w:val="none" w:sz="0" w:space="0" w:color="auto"/>
        <w:bottom w:val="none" w:sz="0" w:space="0" w:color="auto"/>
        <w:right w:val="none" w:sz="0" w:space="0" w:color="auto"/>
      </w:divBdr>
    </w:div>
    <w:div w:id="716661627">
      <w:bodyDiv w:val="1"/>
      <w:marLeft w:val="0"/>
      <w:marRight w:val="0"/>
      <w:marTop w:val="0"/>
      <w:marBottom w:val="0"/>
      <w:divBdr>
        <w:top w:val="none" w:sz="0" w:space="0" w:color="auto"/>
        <w:left w:val="none" w:sz="0" w:space="0" w:color="auto"/>
        <w:bottom w:val="none" w:sz="0" w:space="0" w:color="auto"/>
        <w:right w:val="none" w:sz="0" w:space="0" w:color="auto"/>
      </w:divBdr>
    </w:div>
    <w:div w:id="731078049">
      <w:bodyDiv w:val="1"/>
      <w:marLeft w:val="0"/>
      <w:marRight w:val="0"/>
      <w:marTop w:val="0"/>
      <w:marBottom w:val="0"/>
      <w:divBdr>
        <w:top w:val="none" w:sz="0" w:space="0" w:color="auto"/>
        <w:left w:val="none" w:sz="0" w:space="0" w:color="auto"/>
        <w:bottom w:val="none" w:sz="0" w:space="0" w:color="auto"/>
        <w:right w:val="none" w:sz="0" w:space="0" w:color="auto"/>
      </w:divBdr>
    </w:div>
    <w:div w:id="732312900">
      <w:bodyDiv w:val="1"/>
      <w:marLeft w:val="0"/>
      <w:marRight w:val="0"/>
      <w:marTop w:val="0"/>
      <w:marBottom w:val="0"/>
      <w:divBdr>
        <w:top w:val="none" w:sz="0" w:space="0" w:color="auto"/>
        <w:left w:val="none" w:sz="0" w:space="0" w:color="auto"/>
        <w:bottom w:val="none" w:sz="0" w:space="0" w:color="auto"/>
        <w:right w:val="none" w:sz="0" w:space="0" w:color="auto"/>
      </w:divBdr>
    </w:div>
    <w:div w:id="735207241">
      <w:bodyDiv w:val="1"/>
      <w:marLeft w:val="0"/>
      <w:marRight w:val="0"/>
      <w:marTop w:val="0"/>
      <w:marBottom w:val="0"/>
      <w:divBdr>
        <w:top w:val="none" w:sz="0" w:space="0" w:color="auto"/>
        <w:left w:val="none" w:sz="0" w:space="0" w:color="auto"/>
        <w:bottom w:val="none" w:sz="0" w:space="0" w:color="auto"/>
        <w:right w:val="none" w:sz="0" w:space="0" w:color="auto"/>
      </w:divBdr>
    </w:div>
    <w:div w:id="737436913">
      <w:bodyDiv w:val="1"/>
      <w:marLeft w:val="0"/>
      <w:marRight w:val="0"/>
      <w:marTop w:val="0"/>
      <w:marBottom w:val="0"/>
      <w:divBdr>
        <w:top w:val="none" w:sz="0" w:space="0" w:color="auto"/>
        <w:left w:val="none" w:sz="0" w:space="0" w:color="auto"/>
        <w:bottom w:val="none" w:sz="0" w:space="0" w:color="auto"/>
        <w:right w:val="none" w:sz="0" w:space="0" w:color="auto"/>
      </w:divBdr>
    </w:div>
    <w:div w:id="740635538">
      <w:bodyDiv w:val="1"/>
      <w:marLeft w:val="0"/>
      <w:marRight w:val="0"/>
      <w:marTop w:val="0"/>
      <w:marBottom w:val="0"/>
      <w:divBdr>
        <w:top w:val="none" w:sz="0" w:space="0" w:color="auto"/>
        <w:left w:val="none" w:sz="0" w:space="0" w:color="auto"/>
        <w:bottom w:val="none" w:sz="0" w:space="0" w:color="auto"/>
        <w:right w:val="none" w:sz="0" w:space="0" w:color="auto"/>
      </w:divBdr>
    </w:div>
    <w:div w:id="745147914">
      <w:bodyDiv w:val="1"/>
      <w:marLeft w:val="0"/>
      <w:marRight w:val="0"/>
      <w:marTop w:val="0"/>
      <w:marBottom w:val="0"/>
      <w:divBdr>
        <w:top w:val="none" w:sz="0" w:space="0" w:color="auto"/>
        <w:left w:val="none" w:sz="0" w:space="0" w:color="auto"/>
        <w:bottom w:val="none" w:sz="0" w:space="0" w:color="auto"/>
        <w:right w:val="none" w:sz="0" w:space="0" w:color="auto"/>
      </w:divBdr>
    </w:div>
    <w:div w:id="745762949">
      <w:bodyDiv w:val="1"/>
      <w:marLeft w:val="0"/>
      <w:marRight w:val="0"/>
      <w:marTop w:val="0"/>
      <w:marBottom w:val="0"/>
      <w:divBdr>
        <w:top w:val="none" w:sz="0" w:space="0" w:color="auto"/>
        <w:left w:val="none" w:sz="0" w:space="0" w:color="auto"/>
        <w:bottom w:val="none" w:sz="0" w:space="0" w:color="auto"/>
        <w:right w:val="none" w:sz="0" w:space="0" w:color="auto"/>
      </w:divBdr>
    </w:div>
    <w:div w:id="764690852">
      <w:bodyDiv w:val="1"/>
      <w:marLeft w:val="0"/>
      <w:marRight w:val="0"/>
      <w:marTop w:val="0"/>
      <w:marBottom w:val="0"/>
      <w:divBdr>
        <w:top w:val="none" w:sz="0" w:space="0" w:color="auto"/>
        <w:left w:val="none" w:sz="0" w:space="0" w:color="auto"/>
        <w:bottom w:val="none" w:sz="0" w:space="0" w:color="auto"/>
        <w:right w:val="none" w:sz="0" w:space="0" w:color="auto"/>
      </w:divBdr>
    </w:div>
    <w:div w:id="765150774">
      <w:bodyDiv w:val="1"/>
      <w:marLeft w:val="0"/>
      <w:marRight w:val="0"/>
      <w:marTop w:val="0"/>
      <w:marBottom w:val="0"/>
      <w:divBdr>
        <w:top w:val="none" w:sz="0" w:space="0" w:color="auto"/>
        <w:left w:val="none" w:sz="0" w:space="0" w:color="auto"/>
        <w:bottom w:val="none" w:sz="0" w:space="0" w:color="auto"/>
        <w:right w:val="none" w:sz="0" w:space="0" w:color="auto"/>
      </w:divBdr>
    </w:div>
    <w:div w:id="765229207">
      <w:bodyDiv w:val="1"/>
      <w:marLeft w:val="0"/>
      <w:marRight w:val="0"/>
      <w:marTop w:val="0"/>
      <w:marBottom w:val="0"/>
      <w:divBdr>
        <w:top w:val="none" w:sz="0" w:space="0" w:color="auto"/>
        <w:left w:val="none" w:sz="0" w:space="0" w:color="auto"/>
        <w:bottom w:val="none" w:sz="0" w:space="0" w:color="auto"/>
        <w:right w:val="none" w:sz="0" w:space="0" w:color="auto"/>
      </w:divBdr>
    </w:div>
    <w:div w:id="767627307">
      <w:bodyDiv w:val="1"/>
      <w:marLeft w:val="0"/>
      <w:marRight w:val="0"/>
      <w:marTop w:val="0"/>
      <w:marBottom w:val="0"/>
      <w:divBdr>
        <w:top w:val="none" w:sz="0" w:space="0" w:color="auto"/>
        <w:left w:val="none" w:sz="0" w:space="0" w:color="auto"/>
        <w:bottom w:val="none" w:sz="0" w:space="0" w:color="auto"/>
        <w:right w:val="none" w:sz="0" w:space="0" w:color="auto"/>
      </w:divBdr>
    </w:div>
    <w:div w:id="770323004">
      <w:bodyDiv w:val="1"/>
      <w:marLeft w:val="0"/>
      <w:marRight w:val="0"/>
      <w:marTop w:val="0"/>
      <w:marBottom w:val="0"/>
      <w:divBdr>
        <w:top w:val="none" w:sz="0" w:space="0" w:color="auto"/>
        <w:left w:val="none" w:sz="0" w:space="0" w:color="auto"/>
        <w:bottom w:val="none" w:sz="0" w:space="0" w:color="auto"/>
        <w:right w:val="none" w:sz="0" w:space="0" w:color="auto"/>
      </w:divBdr>
    </w:div>
    <w:div w:id="771126006">
      <w:bodyDiv w:val="1"/>
      <w:marLeft w:val="0"/>
      <w:marRight w:val="0"/>
      <w:marTop w:val="0"/>
      <w:marBottom w:val="0"/>
      <w:divBdr>
        <w:top w:val="none" w:sz="0" w:space="0" w:color="auto"/>
        <w:left w:val="none" w:sz="0" w:space="0" w:color="auto"/>
        <w:bottom w:val="none" w:sz="0" w:space="0" w:color="auto"/>
        <w:right w:val="none" w:sz="0" w:space="0" w:color="auto"/>
      </w:divBdr>
    </w:div>
    <w:div w:id="779027574">
      <w:bodyDiv w:val="1"/>
      <w:marLeft w:val="0"/>
      <w:marRight w:val="0"/>
      <w:marTop w:val="0"/>
      <w:marBottom w:val="0"/>
      <w:divBdr>
        <w:top w:val="none" w:sz="0" w:space="0" w:color="auto"/>
        <w:left w:val="none" w:sz="0" w:space="0" w:color="auto"/>
        <w:bottom w:val="none" w:sz="0" w:space="0" w:color="auto"/>
        <w:right w:val="none" w:sz="0" w:space="0" w:color="auto"/>
      </w:divBdr>
    </w:div>
    <w:div w:id="786435388">
      <w:bodyDiv w:val="1"/>
      <w:marLeft w:val="0"/>
      <w:marRight w:val="0"/>
      <w:marTop w:val="0"/>
      <w:marBottom w:val="0"/>
      <w:divBdr>
        <w:top w:val="none" w:sz="0" w:space="0" w:color="auto"/>
        <w:left w:val="none" w:sz="0" w:space="0" w:color="auto"/>
        <w:bottom w:val="none" w:sz="0" w:space="0" w:color="auto"/>
        <w:right w:val="none" w:sz="0" w:space="0" w:color="auto"/>
      </w:divBdr>
    </w:div>
    <w:div w:id="790825140">
      <w:bodyDiv w:val="1"/>
      <w:marLeft w:val="0"/>
      <w:marRight w:val="0"/>
      <w:marTop w:val="0"/>
      <w:marBottom w:val="0"/>
      <w:divBdr>
        <w:top w:val="none" w:sz="0" w:space="0" w:color="auto"/>
        <w:left w:val="none" w:sz="0" w:space="0" w:color="auto"/>
        <w:bottom w:val="none" w:sz="0" w:space="0" w:color="auto"/>
        <w:right w:val="none" w:sz="0" w:space="0" w:color="auto"/>
      </w:divBdr>
    </w:div>
    <w:div w:id="792485071">
      <w:bodyDiv w:val="1"/>
      <w:marLeft w:val="0"/>
      <w:marRight w:val="0"/>
      <w:marTop w:val="0"/>
      <w:marBottom w:val="0"/>
      <w:divBdr>
        <w:top w:val="none" w:sz="0" w:space="0" w:color="auto"/>
        <w:left w:val="none" w:sz="0" w:space="0" w:color="auto"/>
        <w:bottom w:val="none" w:sz="0" w:space="0" w:color="auto"/>
        <w:right w:val="none" w:sz="0" w:space="0" w:color="auto"/>
      </w:divBdr>
    </w:div>
    <w:div w:id="794063201">
      <w:bodyDiv w:val="1"/>
      <w:marLeft w:val="0"/>
      <w:marRight w:val="0"/>
      <w:marTop w:val="0"/>
      <w:marBottom w:val="0"/>
      <w:divBdr>
        <w:top w:val="none" w:sz="0" w:space="0" w:color="auto"/>
        <w:left w:val="none" w:sz="0" w:space="0" w:color="auto"/>
        <w:bottom w:val="none" w:sz="0" w:space="0" w:color="auto"/>
        <w:right w:val="none" w:sz="0" w:space="0" w:color="auto"/>
      </w:divBdr>
    </w:div>
    <w:div w:id="794175727">
      <w:bodyDiv w:val="1"/>
      <w:marLeft w:val="0"/>
      <w:marRight w:val="0"/>
      <w:marTop w:val="0"/>
      <w:marBottom w:val="0"/>
      <w:divBdr>
        <w:top w:val="none" w:sz="0" w:space="0" w:color="auto"/>
        <w:left w:val="none" w:sz="0" w:space="0" w:color="auto"/>
        <w:bottom w:val="none" w:sz="0" w:space="0" w:color="auto"/>
        <w:right w:val="none" w:sz="0" w:space="0" w:color="auto"/>
      </w:divBdr>
    </w:div>
    <w:div w:id="794374959">
      <w:bodyDiv w:val="1"/>
      <w:marLeft w:val="0"/>
      <w:marRight w:val="0"/>
      <w:marTop w:val="0"/>
      <w:marBottom w:val="0"/>
      <w:divBdr>
        <w:top w:val="none" w:sz="0" w:space="0" w:color="auto"/>
        <w:left w:val="none" w:sz="0" w:space="0" w:color="auto"/>
        <w:bottom w:val="none" w:sz="0" w:space="0" w:color="auto"/>
        <w:right w:val="none" w:sz="0" w:space="0" w:color="auto"/>
      </w:divBdr>
    </w:div>
    <w:div w:id="796416204">
      <w:bodyDiv w:val="1"/>
      <w:marLeft w:val="0"/>
      <w:marRight w:val="0"/>
      <w:marTop w:val="0"/>
      <w:marBottom w:val="0"/>
      <w:divBdr>
        <w:top w:val="none" w:sz="0" w:space="0" w:color="auto"/>
        <w:left w:val="none" w:sz="0" w:space="0" w:color="auto"/>
        <w:bottom w:val="none" w:sz="0" w:space="0" w:color="auto"/>
        <w:right w:val="none" w:sz="0" w:space="0" w:color="auto"/>
      </w:divBdr>
    </w:div>
    <w:div w:id="800919784">
      <w:bodyDiv w:val="1"/>
      <w:marLeft w:val="0"/>
      <w:marRight w:val="0"/>
      <w:marTop w:val="0"/>
      <w:marBottom w:val="0"/>
      <w:divBdr>
        <w:top w:val="none" w:sz="0" w:space="0" w:color="auto"/>
        <w:left w:val="none" w:sz="0" w:space="0" w:color="auto"/>
        <w:bottom w:val="none" w:sz="0" w:space="0" w:color="auto"/>
        <w:right w:val="none" w:sz="0" w:space="0" w:color="auto"/>
      </w:divBdr>
    </w:div>
    <w:div w:id="802236646">
      <w:bodyDiv w:val="1"/>
      <w:marLeft w:val="0"/>
      <w:marRight w:val="0"/>
      <w:marTop w:val="0"/>
      <w:marBottom w:val="0"/>
      <w:divBdr>
        <w:top w:val="none" w:sz="0" w:space="0" w:color="auto"/>
        <w:left w:val="none" w:sz="0" w:space="0" w:color="auto"/>
        <w:bottom w:val="none" w:sz="0" w:space="0" w:color="auto"/>
        <w:right w:val="none" w:sz="0" w:space="0" w:color="auto"/>
      </w:divBdr>
    </w:div>
    <w:div w:id="802847436">
      <w:bodyDiv w:val="1"/>
      <w:marLeft w:val="0"/>
      <w:marRight w:val="0"/>
      <w:marTop w:val="0"/>
      <w:marBottom w:val="0"/>
      <w:divBdr>
        <w:top w:val="none" w:sz="0" w:space="0" w:color="auto"/>
        <w:left w:val="none" w:sz="0" w:space="0" w:color="auto"/>
        <w:bottom w:val="none" w:sz="0" w:space="0" w:color="auto"/>
        <w:right w:val="none" w:sz="0" w:space="0" w:color="auto"/>
      </w:divBdr>
    </w:div>
    <w:div w:id="803891198">
      <w:bodyDiv w:val="1"/>
      <w:marLeft w:val="0"/>
      <w:marRight w:val="0"/>
      <w:marTop w:val="0"/>
      <w:marBottom w:val="0"/>
      <w:divBdr>
        <w:top w:val="none" w:sz="0" w:space="0" w:color="auto"/>
        <w:left w:val="none" w:sz="0" w:space="0" w:color="auto"/>
        <w:bottom w:val="none" w:sz="0" w:space="0" w:color="auto"/>
        <w:right w:val="none" w:sz="0" w:space="0" w:color="auto"/>
      </w:divBdr>
    </w:div>
    <w:div w:id="811098993">
      <w:bodyDiv w:val="1"/>
      <w:marLeft w:val="0"/>
      <w:marRight w:val="0"/>
      <w:marTop w:val="0"/>
      <w:marBottom w:val="0"/>
      <w:divBdr>
        <w:top w:val="none" w:sz="0" w:space="0" w:color="auto"/>
        <w:left w:val="none" w:sz="0" w:space="0" w:color="auto"/>
        <w:bottom w:val="none" w:sz="0" w:space="0" w:color="auto"/>
        <w:right w:val="none" w:sz="0" w:space="0" w:color="auto"/>
      </w:divBdr>
    </w:div>
    <w:div w:id="814108393">
      <w:bodyDiv w:val="1"/>
      <w:marLeft w:val="0"/>
      <w:marRight w:val="0"/>
      <w:marTop w:val="0"/>
      <w:marBottom w:val="0"/>
      <w:divBdr>
        <w:top w:val="none" w:sz="0" w:space="0" w:color="auto"/>
        <w:left w:val="none" w:sz="0" w:space="0" w:color="auto"/>
        <w:bottom w:val="none" w:sz="0" w:space="0" w:color="auto"/>
        <w:right w:val="none" w:sz="0" w:space="0" w:color="auto"/>
      </w:divBdr>
    </w:div>
    <w:div w:id="817039558">
      <w:bodyDiv w:val="1"/>
      <w:marLeft w:val="0"/>
      <w:marRight w:val="0"/>
      <w:marTop w:val="0"/>
      <w:marBottom w:val="0"/>
      <w:divBdr>
        <w:top w:val="none" w:sz="0" w:space="0" w:color="auto"/>
        <w:left w:val="none" w:sz="0" w:space="0" w:color="auto"/>
        <w:bottom w:val="none" w:sz="0" w:space="0" w:color="auto"/>
        <w:right w:val="none" w:sz="0" w:space="0" w:color="auto"/>
      </w:divBdr>
    </w:div>
    <w:div w:id="817188107">
      <w:bodyDiv w:val="1"/>
      <w:marLeft w:val="0"/>
      <w:marRight w:val="0"/>
      <w:marTop w:val="0"/>
      <w:marBottom w:val="0"/>
      <w:divBdr>
        <w:top w:val="none" w:sz="0" w:space="0" w:color="auto"/>
        <w:left w:val="none" w:sz="0" w:space="0" w:color="auto"/>
        <w:bottom w:val="none" w:sz="0" w:space="0" w:color="auto"/>
        <w:right w:val="none" w:sz="0" w:space="0" w:color="auto"/>
      </w:divBdr>
    </w:div>
    <w:div w:id="819928688">
      <w:bodyDiv w:val="1"/>
      <w:marLeft w:val="0"/>
      <w:marRight w:val="0"/>
      <w:marTop w:val="0"/>
      <w:marBottom w:val="0"/>
      <w:divBdr>
        <w:top w:val="none" w:sz="0" w:space="0" w:color="auto"/>
        <w:left w:val="none" w:sz="0" w:space="0" w:color="auto"/>
        <w:bottom w:val="none" w:sz="0" w:space="0" w:color="auto"/>
        <w:right w:val="none" w:sz="0" w:space="0" w:color="auto"/>
      </w:divBdr>
    </w:div>
    <w:div w:id="826017611">
      <w:bodyDiv w:val="1"/>
      <w:marLeft w:val="0"/>
      <w:marRight w:val="0"/>
      <w:marTop w:val="0"/>
      <w:marBottom w:val="0"/>
      <w:divBdr>
        <w:top w:val="none" w:sz="0" w:space="0" w:color="auto"/>
        <w:left w:val="none" w:sz="0" w:space="0" w:color="auto"/>
        <w:bottom w:val="none" w:sz="0" w:space="0" w:color="auto"/>
        <w:right w:val="none" w:sz="0" w:space="0" w:color="auto"/>
      </w:divBdr>
    </w:div>
    <w:div w:id="828061760">
      <w:bodyDiv w:val="1"/>
      <w:marLeft w:val="0"/>
      <w:marRight w:val="0"/>
      <w:marTop w:val="0"/>
      <w:marBottom w:val="0"/>
      <w:divBdr>
        <w:top w:val="none" w:sz="0" w:space="0" w:color="auto"/>
        <w:left w:val="none" w:sz="0" w:space="0" w:color="auto"/>
        <w:bottom w:val="none" w:sz="0" w:space="0" w:color="auto"/>
        <w:right w:val="none" w:sz="0" w:space="0" w:color="auto"/>
      </w:divBdr>
    </w:div>
    <w:div w:id="829642608">
      <w:bodyDiv w:val="1"/>
      <w:marLeft w:val="0"/>
      <w:marRight w:val="0"/>
      <w:marTop w:val="0"/>
      <w:marBottom w:val="0"/>
      <w:divBdr>
        <w:top w:val="none" w:sz="0" w:space="0" w:color="auto"/>
        <w:left w:val="none" w:sz="0" w:space="0" w:color="auto"/>
        <w:bottom w:val="none" w:sz="0" w:space="0" w:color="auto"/>
        <w:right w:val="none" w:sz="0" w:space="0" w:color="auto"/>
      </w:divBdr>
    </w:div>
    <w:div w:id="832718627">
      <w:bodyDiv w:val="1"/>
      <w:marLeft w:val="0"/>
      <w:marRight w:val="0"/>
      <w:marTop w:val="0"/>
      <w:marBottom w:val="0"/>
      <w:divBdr>
        <w:top w:val="none" w:sz="0" w:space="0" w:color="auto"/>
        <w:left w:val="none" w:sz="0" w:space="0" w:color="auto"/>
        <w:bottom w:val="none" w:sz="0" w:space="0" w:color="auto"/>
        <w:right w:val="none" w:sz="0" w:space="0" w:color="auto"/>
      </w:divBdr>
    </w:div>
    <w:div w:id="837967670">
      <w:bodyDiv w:val="1"/>
      <w:marLeft w:val="0"/>
      <w:marRight w:val="0"/>
      <w:marTop w:val="0"/>
      <w:marBottom w:val="0"/>
      <w:divBdr>
        <w:top w:val="none" w:sz="0" w:space="0" w:color="auto"/>
        <w:left w:val="none" w:sz="0" w:space="0" w:color="auto"/>
        <w:bottom w:val="none" w:sz="0" w:space="0" w:color="auto"/>
        <w:right w:val="none" w:sz="0" w:space="0" w:color="auto"/>
      </w:divBdr>
    </w:div>
    <w:div w:id="843013239">
      <w:bodyDiv w:val="1"/>
      <w:marLeft w:val="0"/>
      <w:marRight w:val="0"/>
      <w:marTop w:val="0"/>
      <w:marBottom w:val="0"/>
      <w:divBdr>
        <w:top w:val="none" w:sz="0" w:space="0" w:color="auto"/>
        <w:left w:val="none" w:sz="0" w:space="0" w:color="auto"/>
        <w:bottom w:val="none" w:sz="0" w:space="0" w:color="auto"/>
        <w:right w:val="none" w:sz="0" w:space="0" w:color="auto"/>
      </w:divBdr>
    </w:div>
    <w:div w:id="844784854">
      <w:bodyDiv w:val="1"/>
      <w:marLeft w:val="0"/>
      <w:marRight w:val="0"/>
      <w:marTop w:val="0"/>
      <w:marBottom w:val="0"/>
      <w:divBdr>
        <w:top w:val="none" w:sz="0" w:space="0" w:color="auto"/>
        <w:left w:val="none" w:sz="0" w:space="0" w:color="auto"/>
        <w:bottom w:val="none" w:sz="0" w:space="0" w:color="auto"/>
        <w:right w:val="none" w:sz="0" w:space="0" w:color="auto"/>
      </w:divBdr>
    </w:div>
    <w:div w:id="850144182">
      <w:bodyDiv w:val="1"/>
      <w:marLeft w:val="0"/>
      <w:marRight w:val="0"/>
      <w:marTop w:val="0"/>
      <w:marBottom w:val="0"/>
      <w:divBdr>
        <w:top w:val="none" w:sz="0" w:space="0" w:color="auto"/>
        <w:left w:val="none" w:sz="0" w:space="0" w:color="auto"/>
        <w:bottom w:val="none" w:sz="0" w:space="0" w:color="auto"/>
        <w:right w:val="none" w:sz="0" w:space="0" w:color="auto"/>
      </w:divBdr>
    </w:div>
    <w:div w:id="850870540">
      <w:bodyDiv w:val="1"/>
      <w:marLeft w:val="0"/>
      <w:marRight w:val="0"/>
      <w:marTop w:val="0"/>
      <w:marBottom w:val="0"/>
      <w:divBdr>
        <w:top w:val="none" w:sz="0" w:space="0" w:color="auto"/>
        <w:left w:val="none" w:sz="0" w:space="0" w:color="auto"/>
        <w:bottom w:val="none" w:sz="0" w:space="0" w:color="auto"/>
        <w:right w:val="none" w:sz="0" w:space="0" w:color="auto"/>
      </w:divBdr>
    </w:div>
    <w:div w:id="854153064">
      <w:bodyDiv w:val="1"/>
      <w:marLeft w:val="0"/>
      <w:marRight w:val="0"/>
      <w:marTop w:val="0"/>
      <w:marBottom w:val="0"/>
      <w:divBdr>
        <w:top w:val="none" w:sz="0" w:space="0" w:color="auto"/>
        <w:left w:val="none" w:sz="0" w:space="0" w:color="auto"/>
        <w:bottom w:val="none" w:sz="0" w:space="0" w:color="auto"/>
        <w:right w:val="none" w:sz="0" w:space="0" w:color="auto"/>
      </w:divBdr>
    </w:div>
    <w:div w:id="859200668">
      <w:bodyDiv w:val="1"/>
      <w:marLeft w:val="0"/>
      <w:marRight w:val="0"/>
      <w:marTop w:val="0"/>
      <w:marBottom w:val="0"/>
      <w:divBdr>
        <w:top w:val="none" w:sz="0" w:space="0" w:color="auto"/>
        <w:left w:val="none" w:sz="0" w:space="0" w:color="auto"/>
        <w:bottom w:val="none" w:sz="0" w:space="0" w:color="auto"/>
        <w:right w:val="none" w:sz="0" w:space="0" w:color="auto"/>
      </w:divBdr>
    </w:div>
    <w:div w:id="865756114">
      <w:bodyDiv w:val="1"/>
      <w:marLeft w:val="0"/>
      <w:marRight w:val="0"/>
      <w:marTop w:val="0"/>
      <w:marBottom w:val="0"/>
      <w:divBdr>
        <w:top w:val="none" w:sz="0" w:space="0" w:color="auto"/>
        <w:left w:val="none" w:sz="0" w:space="0" w:color="auto"/>
        <w:bottom w:val="none" w:sz="0" w:space="0" w:color="auto"/>
        <w:right w:val="none" w:sz="0" w:space="0" w:color="auto"/>
      </w:divBdr>
    </w:div>
    <w:div w:id="867567249">
      <w:bodyDiv w:val="1"/>
      <w:marLeft w:val="0"/>
      <w:marRight w:val="0"/>
      <w:marTop w:val="0"/>
      <w:marBottom w:val="0"/>
      <w:divBdr>
        <w:top w:val="none" w:sz="0" w:space="0" w:color="auto"/>
        <w:left w:val="none" w:sz="0" w:space="0" w:color="auto"/>
        <w:bottom w:val="none" w:sz="0" w:space="0" w:color="auto"/>
        <w:right w:val="none" w:sz="0" w:space="0" w:color="auto"/>
      </w:divBdr>
    </w:div>
    <w:div w:id="874925981">
      <w:bodyDiv w:val="1"/>
      <w:marLeft w:val="0"/>
      <w:marRight w:val="0"/>
      <w:marTop w:val="0"/>
      <w:marBottom w:val="0"/>
      <w:divBdr>
        <w:top w:val="none" w:sz="0" w:space="0" w:color="auto"/>
        <w:left w:val="none" w:sz="0" w:space="0" w:color="auto"/>
        <w:bottom w:val="none" w:sz="0" w:space="0" w:color="auto"/>
        <w:right w:val="none" w:sz="0" w:space="0" w:color="auto"/>
      </w:divBdr>
    </w:div>
    <w:div w:id="880631954">
      <w:bodyDiv w:val="1"/>
      <w:marLeft w:val="0"/>
      <w:marRight w:val="0"/>
      <w:marTop w:val="0"/>
      <w:marBottom w:val="0"/>
      <w:divBdr>
        <w:top w:val="none" w:sz="0" w:space="0" w:color="auto"/>
        <w:left w:val="none" w:sz="0" w:space="0" w:color="auto"/>
        <w:bottom w:val="none" w:sz="0" w:space="0" w:color="auto"/>
        <w:right w:val="none" w:sz="0" w:space="0" w:color="auto"/>
      </w:divBdr>
    </w:div>
    <w:div w:id="885678055">
      <w:bodyDiv w:val="1"/>
      <w:marLeft w:val="0"/>
      <w:marRight w:val="0"/>
      <w:marTop w:val="0"/>
      <w:marBottom w:val="0"/>
      <w:divBdr>
        <w:top w:val="none" w:sz="0" w:space="0" w:color="auto"/>
        <w:left w:val="none" w:sz="0" w:space="0" w:color="auto"/>
        <w:bottom w:val="none" w:sz="0" w:space="0" w:color="auto"/>
        <w:right w:val="none" w:sz="0" w:space="0" w:color="auto"/>
      </w:divBdr>
    </w:div>
    <w:div w:id="898521121">
      <w:bodyDiv w:val="1"/>
      <w:marLeft w:val="0"/>
      <w:marRight w:val="0"/>
      <w:marTop w:val="0"/>
      <w:marBottom w:val="0"/>
      <w:divBdr>
        <w:top w:val="none" w:sz="0" w:space="0" w:color="auto"/>
        <w:left w:val="none" w:sz="0" w:space="0" w:color="auto"/>
        <w:bottom w:val="none" w:sz="0" w:space="0" w:color="auto"/>
        <w:right w:val="none" w:sz="0" w:space="0" w:color="auto"/>
      </w:divBdr>
    </w:div>
    <w:div w:id="899751709">
      <w:bodyDiv w:val="1"/>
      <w:marLeft w:val="0"/>
      <w:marRight w:val="0"/>
      <w:marTop w:val="0"/>
      <w:marBottom w:val="0"/>
      <w:divBdr>
        <w:top w:val="none" w:sz="0" w:space="0" w:color="auto"/>
        <w:left w:val="none" w:sz="0" w:space="0" w:color="auto"/>
        <w:bottom w:val="none" w:sz="0" w:space="0" w:color="auto"/>
        <w:right w:val="none" w:sz="0" w:space="0" w:color="auto"/>
      </w:divBdr>
    </w:div>
    <w:div w:id="906112276">
      <w:bodyDiv w:val="1"/>
      <w:marLeft w:val="0"/>
      <w:marRight w:val="0"/>
      <w:marTop w:val="0"/>
      <w:marBottom w:val="0"/>
      <w:divBdr>
        <w:top w:val="none" w:sz="0" w:space="0" w:color="auto"/>
        <w:left w:val="none" w:sz="0" w:space="0" w:color="auto"/>
        <w:bottom w:val="none" w:sz="0" w:space="0" w:color="auto"/>
        <w:right w:val="none" w:sz="0" w:space="0" w:color="auto"/>
      </w:divBdr>
    </w:div>
    <w:div w:id="907039923">
      <w:bodyDiv w:val="1"/>
      <w:marLeft w:val="0"/>
      <w:marRight w:val="0"/>
      <w:marTop w:val="0"/>
      <w:marBottom w:val="0"/>
      <w:divBdr>
        <w:top w:val="none" w:sz="0" w:space="0" w:color="auto"/>
        <w:left w:val="none" w:sz="0" w:space="0" w:color="auto"/>
        <w:bottom w:val="none" w:sz="0" w:space="0" w:color="auto"/>
        <w:right w:val="none" w:sz="0" w:space="0" w:color="auto"/>
      </w:divBdr>
    </w:div>
    <w:div w:id="908883917">
      <w:bodyDiv w:val="1"/>
      <w:marLeft w:val="0"/>
      <w:marRight w:val="0"/>
      <w:marTop w:val="0"/>
      <w:marBottom w:val="0"/>
      <w:divBdr>
        <w:top w:val="none" w:sz="0" w:space="0" w:color="auto"/>
        <w:left w:val="none" w:sz="0" w:space="0" w:color="auto"/>
        <w:bottom w:val="none" w:sz="0" w:space="0" w:color="auto"/>
        <w:right w:val="none" w:sz="0" w:space="0" w:color="auto"/>
      </w:divBdr>
    </w:div>
    <w:div w:id="919489334">
      <w:bodyDiv w:val="1"/>
      <w:marLeft w:val="0"/>
      <w:marRight w:val="0"/>
      <w:marTop w:val="0"/>
      <w:marBottom w:val="0"/>
      <w:divBdr>
        <w:top w:val="none" w:sz="0" w:space="0" w:color="auto"/>
        <w:left w:val="none" w:sz="0" w:space="0" w:color="auto"/>
        <w:bottom w:val="none" w:sz="0" w:space="0" w:color="auto"/>
        <w:right w:val="none" w:sz="0" w:space="0" w:color="auto"/>
      </w:divBdr>
    </w:div>
    <w:div w:id="921379400">
      <w:bodyDiv w:val="1"/>
      <w:marLeft w:val="0"/>
      <w:marRight w:val="0"/>
      <w:marTop w:val="0"/>
      <w:marBottom w:val="0"/>
      <w:divBdr>
        <w:top w:val="none" w:sz="0" w:space="0" w:color="auto"/>
        <w:left w:val="none" w:sz="0" w:space="0" w:color="auto"/>
        <w:bottom w:val="none" w:sz="0" w:space="0" w:color="auto"/>
        <w:right w:val="none" w:sz="0" w:space="0" w:color="auto"/>
      </w:divBdr>
    </w:div>
    <w:div w:id="927231967">
      <w:bodyDiv w:val="1"/>
      <w:marLeft w:val="0"/>
      <w:marRight w:val="0"/>
      <w:marTop w:val="0"/>
      <w:marBottom w:val="0"/>
      <w:divBdr>
        <w:top w:val="none" w:sz="0" w:space="0" w:color="auto"/>
        <w:left w:val="none" w:sz="0" w:space="0" w:color="auto"/>
        <w:bottom w:val="none" w:sz="0" w:space="0" w:color="auto"/>
        <w:right w:val="none" w:sz="0" w:space="0" w:color="auto"/>
      </w:divBdr>
    </w:div>
    <w:div w:id="930548137">
      <w:bodyDiv w:val="1"/>
      <w:marLeft w:val="0"/>
      <w:marRight w:val="0"/>
      <w:marTop w:val="0"/>
      <w:marBottom w:val="0"/>
      <w:divBdr>
        <w:top w:val="none" w:sz="0" w:space="0" w:color="auto"/>
        <w:left w:val="none" w:sz="0" w:space="0" w:color="auto"/>
        <w:bottom w:val="none" w:sz="0" w:space="0" w:color="auto"/>
        <w:right w:val="none" w:sz="0" w:space="0" w:color="auto"/>
      </w:divBdr>
    </w:div>
    <w:div w:id="940380161">
      <w:bodyDiv w:val="1"/>
      <w:marLeft w:val="0"/>
      <w:marRight w:val="0"/>
      <w:marTop w:val="0"/>
      <w:marBottom w:val="0"/>
      <w:divBdr>
        <w:top w:val="none" w:sz="0" w:space="0" w:color="auto"/>
        <w:left w:val="none" w:sz="0" w:space="0" w:color="auto"/>
        <w:bottom w:val="none" w:sz="0" w:space="0" w:color="auto"/>
        <w:right w:val="none" w:sz="0" w:space="0" w:color="auto"/>
      </w:divBdr>
    </w:div>
    <w:div w:id="941647775">
      <w:bodyDiv w:val="1"/>
      <w:marLeft w:val="0"/>
      <w:marRight w:val="0"/>
      <w:marTop w:val="0"/>
      <w:marBottom w:val="0"/>
      <w:divBdr>
        <w:top w:val="none" w:sz="0" w:space="0" w:color="auto"/>
        <w:left w:val="none" w:sz="0" w:space="0" w:color="auto"/>
        <w:bottom w:val="none" w:sz="0" w:space="0" w:color="auto"/>
        <w:right w:val="none" w:sz="0" w:space="0" w:color="auto"/>
      </w:divBdr>
    </w:div>
    <w:div w:id="943225726">
      <w:bodyDiv w:val="1"/>
      <w:marLeft w:val="0"/>
      <w:marRight w:val="0"/>
      <w:marTop w:val="0"/>
      <w:marBottom w:val="0"/>
      <w:divBdr>
        <w:top w:val="none" w:sz="0" w:space="0" w:color="auto"/>
        <w:left w:val="none" w:sz="0" w:space="0" w:color="auto"/>
        <w:bottom w:val="none" w:sz="0" w:space="0" w:color="auto"/>
        <w:right w:val="none" w:sz="0" w:space="0" w:color="auto"/>
      </w:divBdr>
    </w:div>
    <w:div w:id="943920796">
      <w:bodyDiv w:val="1"/>
      <w:marLeft w:val="0"/>
      <w:marRight w:val="0"/>
      <w:marTop w:val="0"/>
      <w:marBottom w:val="0"/>
      <w:divBdr>
        <w:top w:val="none" w:sz="0" w:space="0" w:color="auto"/>
        <w:left w:val="none" w:sz="0" w:space="0" w:color="auto"/>
        <w:bottom w:val="none" w:sz="0" w:space="0" w:color="auto"/>
        <w:right w:val="none" w:sz="0" w:space="0" w:color="auto"/>
      </w:divBdr>
    </w:div>
    <w:div w:id="948704500">
      <w:bodyDiv w:val="1"/>
      <w:marLeft w:val="0"/>
      <w:marRight w:val="0"/>
      <w:marTop w:val="0"/>
      <w:marBottom w:val="0"/>
      <w:divBdr>
        <w:top w:val="none" w:sz="0" w:space="0" w:color="auto"/>
        <w:left w:val="none" w:sz="0" w:space="0" w:color="auto"/>
        <w:bottom w:val="none" w:sz="0" w:space="0" w:color="auto"/>
        <w:right w:val="none" w:sz="0" w:space="0" w:color="auto"/>
      </w:divBdr>
    </w:div>
    <w:div w:id="953244818">
      <w:bodyDiv w:val="1"/>
      <w:marLeft w:val="0"/>
      <w:marRight w:val="0"/>
      <w:marTop w:val="0"/>
      <w:marBottom w:val="0"/>
      <w:divBdr>
        <w:top w:val="none" w:sz="0" w:space="0" w:color="auto"/>
        <w:left w:val="none" w:sz="0" w:space="0" w:color="auto"/>
        <w:bottom w:val="none" w:sz="0" w:space="0" w:color="auto"/>
        <w:right w:val="none" w:sz="0" w:space="0" w:color="auto"/>
      </w:divBdr>
    </w:div>
    <w:div w:id="953247205">
      <w:bodyDiv w:val="1"/>
      <w:marLeft w:val="0"/>
      <w:marRight w:val="0"/>
      <w:marTop w:val="0"/>
      <w:marBottom w:val="0"/>
      <w:divBdr>
        <w:top w:val="none" w:sz="0" w:space="0" w:color="auto"/>
        <w:left w:val="none" w:sz="0" w:space="0" w:color="auto"/>
        <w:bottom w:val="none" w:sz="0" w:space="0" w:color="auto"/>
        <w:right w:val="none" w:sz="0" w:space="0" w:color="auto"/>
      </w:divBdr>
    </w:div>
    <w:div w:id="957301064">
      <w:bodyDiv w:val="1"/>
      <w:marLeft w:val="0"/>
      <w:marRight w:val="0"/>
      <w:marTop w:val="0"/>
      <w:marBottom w:val="0"/>
      <w:divBdr>
        <w:top w:val="none" w:sz="0" w:space="0" w:color="auto"/>
        <w:left w:val="none" w:sz="0" w:space="0" w:color="auto"/>
        <w:bottom w:val="none" w:sz="0" w:space="0" w:color="auto"/>
        <w:right w:val="none" w:sz="0" w:space="0" w:color="auto"/>
      </w:divBdr>
    </w:div>
    <w:div w:id="963581105">
      <w:bodyDiv w:val="1"/>
      <w:marLeft w:val="0"/>
      <w:marRight w:val="0"/>
      <w:marTop w:val="0"/>
      <w:marBottom w:val="0"/>
      <w:divBdr>
        <w:top w:val="none" w:sz="0" w:space="0" w:color="auto"/>
        <w:left w:val="none" w:sz="0" w:space="0" w:color="auto"/>
        <w:bottom w:val="none" w:sz="0" w:space="0" w:color="auto"/>
        <w:right w:val="none" w:sz="0" w:space="0" w:color="auto"/>
      </w:divBdr>
    </w:div>
    <w:div w:id="966085333">
      <w:bodyDiv w:val="1"/>
      <w:marLeft w:val="0"/>
      <w:marRight w:val="0"/>
      <w:marTop w:val="0"/>
      <w:marBottom w:val="0"/>
      <w:divBdr>
        <w:top w:val="none" w:sz="0" w:space="0" w:color="auto"/>
        <w:left w:val="none" w:sz="0" w:space="0" w:color="auto"/>
        <w:bottom w:val="none" w:sz="0" w:space="0" w:color="auto"/>
        <w:right w:val="none" w:sz="0" w:space="0" w:color="auto"/>
      </w:divBdr>
    </w:div>
    <w:div w:id="966282038">
      <w:bodyDiv w:val="1"/>
      <w:marLeft w:val="0"/>
      <w:marRight w:val="0"/>
      <w:marTop w:val="0"/>
      <w:marBottom w:val="0"/>
      <w:divBdr>
        <w:top w:val="none" w:sz="0" w:space="0" w:color="auto"/>
        <w:left w:val="none" w:sz="0" w:space="0" w:color="auto"/>
        <w:bottom w:val="none" w:sz="0" w:space="0" w:color="auto"/>
        <w:right w:val="none" w:sz="0" w:space="0" w:color="auto"/>
      </w:divBdr>
    </w:div>
    <w:div w:id="968322206">
      <w:bodyDiv w:val="1"/>
      <w:marLeft w:val="0"/>
      <w:marRight w:val="0"/>
      <w:marTop w:val="0"/>
      <w:marBottom w:val="0"/>
      <w:divBdr>
        <w:top w:val="none" w:sz="0" w:space="0" w:color="auto"/>
        <w:left w:val="none" w:sz="0" w:space="0" w:color="auto"/>
        <w:bottom w:val="none" w:sz="0" w:space="0" w:color="auto"/>
        <w:right w:val="none" w:sz="0" w:space="0" w:color="auto"/>
      </w:divBdr>
    </w:div>
    <w:div w:id="972752063">
      <w:bodyDiv w:val="1"/>
      <w:marLeft w:val="0"/>
      <w:marRight w:val="0"/>
      <w:marTop w:val="0"/>
      <w:marBottom w:val="0"/>
      <w:divBdr>
        <w:top w:val="none" w:sz="0" w:space="0" w:color="auto"/>
        <w:left w:val="none" w:sz="0" w:space="0" w:color="auto"/>
        <w:bottom w:val="none" w:sz="0" w:space="0" w:color="auto"/>
        <w:right w:val="none" w:sz="0" w:space="0" w:color="auto"/>
      </w:divBdr>
    </w:div>
    <w:div w:id="977302108">
      <w:bodyDiv w:val="1"/>
      <w:marLeft w:val="0"/>
      <w:marRight w:val="0"/>
      <w:marTop w:val="0"/>
      <w:marBottom w:val="0"/>
      <w:divBdr>
        <w:top w:val="none" w:sz="0" w:space="0" w:color="auto"/>
        <w:left w:val="none" w:sz="0" w:space="0" w:color="auto"/>
        <w:bottom w:val="none" w:sz="0" w:space="0" w:color="auto"/>
        <w:right w:val="none" w:sz="0" w:space="0" w:color="auto"/>
      </w:divBdr>
    </w:div>
    <w:div w:id="977539620">
      <w:bodyDiv w:val="1"/>
      <w:marLeft w:val="0"/>
      <w:marRight w:val="0"/>
      <w:marTop w:val="0"/>
      <w:marBottom w:val="0"/>
      <w:divBdr>
        <w:top w:val="none" w:sz="0" w:space="0" w:color="auto"/>
        <w:left w:val="none" w:sz="0" w:space="0" w:color="auto"/>
        <w:bottom w:val="none" w:sz="0" w:space="0" w:color="auto"/>
        <w:right w:val="none" w:sz="0" w:space="0" w:color="auto"/>
      </w:divBdr>
    </w:div>
    <w:div w:id="979533337">
      <w:bodyDiv w:val="1"/>
      <w:marLeft w:val="0"/>
      <w:marRight w:val="0"/>
      <w:marTop w:val="0"/>
      <w:marBottom w:val="0"/>
      <w:divBdr>
        <w:top w:val="none" w:sz="0" w:space="0" w:color="auto"/>
        <w:left w:val="none" w:sz="0" w:space="0" w:color="auto"/>
        <w:bottom w:val="none" w:sz="0" w:space="0" w:color="auto"/>
        <w:right w:val="none" w:sz="0" w:space="0" w:color="auto"/>
      </w:divBdr>
    </w:div>
    <w:div w:id="979918699">
      <w:bodyDiv w:val="1"/>
      <w:marLeft w:val="0"/>
      <w:marRight w:val="0"/>
      <w:marTop w:val="0"/>
      <w:marBottom w:val="0"/>
      <w:divBdr>
        <w:top w:val="none" w:sz="0" w:space="0" w:color="auto"/>
        <w:left w:val="none" w:sz="0" w:space="0" w:color="auto"/>
        <w:bottom w:val="none" w:sz="0" w:space="0" w:color="auto"/>
        <w:right w:val="none" w:sz="0" w:space="0" w:color="auto"/>
      </w:divBdr>
    </w:div>
    <w:div w:id="983461152">
      <w:bodyDiv w:val="1"/>
      <w:marLeft w:val="0"/>
      <w:marRight w:val="0"/>
      <w:marTop w:val="0"/>
      <w:marBottom w:val="0"/>
      <w:divBdr>
        <w:top w:val="none" w:sz="0" w:space="0" w:color="auto"/>
        <w:left w:val="none" w:sz="0" w:space="0" w:color="auto"/>
        <w:bottom w:val="none" w:sz="0" w:space="0" w:color="auto"/>
        <w:right w:val="none" w:sz="0" w:space="0" w:color="auto"/>
      </w:divBdr>
    </w:div>
    <w:div w:id="983658398">
      <w:bodyDiv w:val="1"/>
      <w:marLeft w:val="0"/>
      <w:marRight w:val="0"/>
      <w:marTop w:val="0"/>
      <w:marBottom w:val="0"/>
      <w:divBdr>
        <w:top w:val="none" w:sz="0" w:space="0" w:color="auto"/>
        <w:left w:val="none" w:sz="0" w:space="0" w:color="auto"/>
        <w:bottom w:val="none" w:sz="0" w:space="0" w:color="auto"/>
        <w:right w:val="none" w:sz="0" w:space="0" w:color="auto"/>
      </w:divBdr>
    </w:div>
    <w:div w:id="987855131">
      <w:bodyDiv w:val="1"/>
      <w:marLeft w:val="0"/>
      <w:marRight w:val="0"/>
      <w:marTop w:val="0"/>
      <w:marBottom w:val="0"/>
      <w:divBdr>
        <w:top w:val="none" w:sz="0" w:space="0" w:color="auto"/>
        <w:left w:val="none" w:sz="0" w:space="0" w:color="auto"/>
        <w:bottom w:val="none" w:sz="0" w:space="0" w:color="auto"/>
        <w:right w:val="none" w:sz="0" w:space="0" w:color="auto"/>
      </w:divBdr>
    </w:div>
    <w:div w:id="987976925">
      <w:bodyDiv w:val="1"/>
      <w:marLeft w:val="0"/>
      <w:marRight w:val="0"/>
      <w:marTop w:val="0"/>
      <w:marBottom w:val="0"/>
      <w:divBdr>
        <w:top w:val="none" w:sz="0" w:space="0" w:color="auto"/>
        <w:left w:val="none" w:sz="0" w:space="0" w:color="auto"/>
        <w:bottom w:val="none" w:sz="0" w:space="0" w:color="auto"/>
        <w:right w:val="none" w:sz="0" w:space="0" w:color="auto"/>
      </w:divBdr>
    </w:div>
    <w:div w:id="997459440">
      <w:bodyDiv w:val="1"/>
      <w:marLeft w:val="0"/>
      <w:marRight w:val="0"/>
      <w:marTop w:val="0"/>
      <w:marBottom w:val="0"/>
      <w:divBdr>
        <w:top w:val="none" w:sz="0" w:space="0" w:color="auto"/>
        <w:left w:val="none" w:sz="0" w:space="0" w:color="auto"/>
        <w:bottom w:val="none" w:sz="0" w:space="0" w:color="auto"/>
        <w:right w:val="none" w:sz="0" w:space="0" w:color="auto"/>
      </w:divBdr>
    </w:div>
    <w:div w:id="998583759">
      <w:bodyDiv w:val="1"/>
      <w:marLeft w:val="0"/>
      <w:marRight w:val="0"/>
      <w:marTop w:val="0"/>
      <w:marBottom w:val="0"/>
      <w:divBdr>
        <w:top w:val="none" w:sz="0" w:space="0" w:color="auto"/>
        <w:left w:val="none" w:sz="0" w:space="0" w:color="auto"/>
        <w:bottom w:val="none" w:sz="0" w:space="0" w:color="auto"/>
        <w:right w:val="none" w:sz="0" w:space="0" w:color="auto"/>
      </w:divBdr>
    </w:div>
    <w:div w:id="999770959">
      <w:bodyDiv w:val="1"/>
      <w:marLeft w:val="0"/>
      <w:marRight w:val="0"/>
      <w:marTop w:val="0"/>
      <w:marBottom w:val="0"/>
      <w:divBdr>
        <w:top w:val="none" w:sz="0" w:space="0" w:color="auto"/>
        <w:left w:val="none" w:sz="0" w:space="0" w:color="auto"/>
        <w:bottom w:val="none" w:sz="0" w:space="0" w:color="auto"/>
        <w:right w:val="none" w:sz="0" w:space="0" w:color="auto"/>
      </w:divBdr>
    </w:div>
    <w:div w:id="1001658215">
      <w:bodyDiv w:val="1"/>
      <w:marLeft w:val="0"/>
      <w:marRight w:val="0"/>
      <w:marTop w:val="0"/>
      <w:marBottom w:val="0"/>
      <w:divBdr>
        <w:top w:val="none" w:sz="0" w:space="0" w:color="auto"/>
        <w:left w:val="none" w:sz="0" w:space="0" w:color="auto"/>
        <w:bottom w:val="none" w:sz="0" w:space="0" w:color="auto"/>
        <w:right w:val="none" w:sz="0" w:space="0" w:color="auto"/>
      </w:divBdr>
    </w:div>
    <w:div w:id="1002854028">
      <w:bodyDiv w:val="1"/>
      <w:marLeft w:val="0"/>
      <w:marRight w:val="0"/>
      <w:marTop w:val="0"/>
      <w:marBottom w:val="0"/>
      <w:divBdr>
        <w:top w:val="none" w:sz="0" w:space="0" w:color="auto"/>
        <w:left w:val="none" w:sz="0" w:space="0" w:color="auto"/>
        <w:bottom w:val="none" w:sz="0" w:space="0" w:color="auto"/>
        <w:right w:val="none" w:sz="0" w:space="0" w:color="auto"/>
      </w:divBdr>
    </w:div>
    <w:div w:id="1009139785">
      <w:bodyDiv w:val="1"/>
      <w:marLeft w:val="0"/>
      <w:marRight w:val="0"/>
      <w:marTop w:val="0"/>
      <w:marBottom w:val="0"/>
      <w:divBdr>
        <w:top w:val="none" w:sz="0" w:space="0" w:color="auto"/>
        <w:left w:val="none" w:sz="0" w:space="0" w:color="auto"/>
        <w:bottom w:val="none" w:sz="0" w:space="0" w:color="auto"/>
        <w:right w:val="none" w:sz="0" w:space="0" w:color="auto"/>
      </w:divBdr>
    </w:div>
    <w:div w:id="1013796650">
      <w:bodyDiv w:val="1"/>
      <w:marLeft w:val="0"/>
      <w:marRight w:val="0"/>
      <w:marTop w:val="0"/>
      <w:marBottom w:val="0"/>
      <w:divBdr>
        <w:top w:val="none" w:sz="0" w:space="0" w:color="auto"/>
        <w:left w:val="none" w:sz="0" w:space="0" w:color="auto"/>
        <w:bottom w:val="none" w:sz="0" w:space="0" w:color="auto"/>
        <w:right w:val="none" w:sz="0" w:space="0" w:color="auto"/>
      </w:divBdr>
    </w:div>
    <w:div w:id="1018849396">
      <w:bodyDiv w:val="1"/>
      <w:marLeft w:val="0"/>
      <w:marRight w:val="0"/>
      <w:marTop w:val="0"/>
      <w:marBottom w:val="0"/>
      <w:divBdr>
        <w:top w:val="none" w:sz="0" w:space="0" w:color="auto"/>
        <w:left w:val="none" w:sz="0" w:space="0" w:color="auto"/>
        <w:bottom w:val="none" w:sz="0" w:space="0" w:color="auto"/>
        <w:right w:val="none" w:sz="0" w:space="0" w:color="auto"/>
      </w:divBdr>
    </w:div>
    <w:div w:id="1023241368">
      <w:bodyDiv w:val="1"/>
      <w:marLeft w:val="0"/>
      <w:marRight w:val="0"/>
      <w:marTop w:val="0"/>
      <w:marBottom w:val="0"/>
      <w:divBdr>
        <w:top w:val="none" w:sz="0" w:space="0" w:color="auto"/>
        <w:left w:val="none" w:sz="0" w:space="0" w:color="auto"/>
        <w:bottom w:val="none" w:sz="0" w:space="0" w:color="auto"/>
        <w:right w:val="none" w:sz="0" w:space="0" w:color="auto"/>
      </w:divBdr>
    </w:div>
    <w:div w:id="1024214370">
      <w:bodyDiv w:val="1"/>
      <w:marLeft w:val="0"/>
      <w:marRight w:val="0"/>
      <w:marTop w:val="0"/>
      <w:marBottom w:val="0"/>
      <w:divBdr>
        <w:top w:val="none" w:sz="0" w:space="0" w:color="auto"/>
        <w:left w:val="none" w:sz="0" w:space="0" w:color="auto"/>
        <w:bottom w:val="none" w:sz="0" w:space="0" w:color="auto"/>
        <w:right w:val="none" w:sz="0" w:space="0" w:color="auto"/>
      </w:divBdr>
    </w:div>
    <w:div w:id="1026712420">
      <w:bodyDiv w:val="1"/>
      <w:marLeft w:val="0"/>
      <w:marRight w:val="0"/>
      <w:marTop w:val="0"/>
      <w:marBottom w:val="0"/>
      <w:divBdr>
        <w:top w:val="none" w:sz="0" w:space="0" w:color="auto"/>
        <w:left w:val="none" w:sz="0" w:space="0" w:color="auto"/>
        <w:bottom w:val="none" w:sz="0" w:space="0" w:color="auto"/>
        <w:right w:val="none" w:sz="0" w:space="0" w:color="auto"/>
      </w:divBdr>
    </w:div>
    <w:div w:id="1032417750">
      <w:bodyDiv w:val="1"/>
      <w:marLeft w:val="0"/>
      <w:marRight w:val="0"/>
      <w:marTop w:val="0"/>
      <w:marBottom w:val="0"/>
      <w:divBdr>
        <w:top w:val="none" w:sz="0" w:space="0" w:color="auto"/>
        <w:left w:val="none" w:sz="0" w:space="0" w:color="auto"/>
        <w:bottom w:val="none" w:sz="0" w:space="0" w:color="auto"/>
        <w:right w:val="none" w:sz="0" w:space="0" w:color="auto"/>
      </w:divBdr>
    </w:div>
    <w:div w:id="1032657233">
      <w:bodyDiv w:val="1"/>
      <w:marLeft w:val="0"/>
      <w:marRight w:val="0"/>
      <w:marTop w:val="0"/>
      <w:marBottom w:val="0"/>
      <w:divBdr>
        <w:top w:val="none" w:sz="0" w:space="0" w:color="auto"/>
        <w:left w:val="none" w:sz="0" w:space="0" w:color="auto"/>
        <w:bottom w:val="none" w:sz="0" w:space="0" w:color="auto"/>
        <w:right w:val="none" w:sz="0" w:space="0" w:color="auto"/>
      </w:divBdr>
    </w:div>
    <w:div w:id="1038892150">
      <w:bodyDiv w:val="1"/>
      <w:marLeft w:val="0"/>
      <w:marRight w:val="0"/>
      <w:marTop w:val="0"/>
      <w:marBottom w:val="0"/>
      <w:divBdr>
        <w:top w:val="none" w:sz="0" w:space="0" w:color="auto"/>
        <w:left w:val="none" w:sz="0" w:space="0" w:color="auto"/>
        <w:bottom w:val="none" w:sz="0" w:space="0" w:color="auto"/>
        <w:right w:val="none" w:sz="0" w:space="0" w:color="auto"/>
      </w:divBdr>
    </w:div>
    <w:div w:id="1049454483">
      <w:bodyDiv w:val="1"/>
      <w:marLeft w:val="0"/>
      <w:marRight w:val="0"/>
      <w:marTop w:val="0"/>
      <w:marBottom w:val="0"/>
      <w:divBdr>
        <w:top w:val="none" w:sz="0" w:space="0" w:color="auto"/>
        <w:left w:val="none" w:sz="0" w:space="0" w:color="auto"/>
        <w:bottom w:val="none" w:sz="0" w:space="0" w:color="auto"/>
        <w:right w:val="none" w:sz="0" w:space="0" w:color="auto"/>
      </w:divBdr>
    </w:div>
    <w:div w:id="1049912100">
      <w:bodyDiv w:val="1"/>
      <w:marLeft w:val="0"/>
      <w:marRight w:val="0"/>
      <w:marTop w:val="0"/>
      <w:marBottom w:val="0"/>
      <w:divBdr>
        <w:top w:val="none" w:sz="0" w:space="0" w:color="auto"/>
        <w:left w:val="none" w:sz="0" w:space="0" w:color="auto"/>
        <w:bottom w:val="none" w:sz="0" w:space="0" w:color="auto"/>
        <w:right w:val="none" w:sz="0" w:space="0" w:color="auto"/>
      </w:divBdr>
    </w:div>
    <w:div w:id="1053382540">
      <w:bodyDiv w:val="1"/>
      <w:marLeft w:val="0"/>
      <w:marRight w:val="0"/>
      <w:marTop w:val="0"/>
      <w:marBottom w:val="0"/>
      <w:divBdr>
        <w:top w:val="none" w:sz="0" w:space="0" w:color="auto"/>
        <w:left w:val="none" w:sz="0" w:space="0" w:color="auto"/>
        <w:bottom w:val="none" w:sz="0" w:space="0" w:color="auto"/>
        <w:right w:val="none" w:sz="0" w:space="0" w:color="auto"/>
      </w:divBdr>
    </w:div>
    <w:div w:id="1056852185">
      <w:bodyDiv w:val="1"/>
      <w:marLeft w:val="0"/>
      <w:marRight w:val="0"/>
      <w:marTop w:val="0"/>
      <w:marBottom w:val="0"/>
      <w:divBdr>
        <w:top w:val="none" w:sz="0" w:space="0" w:color="auto"/>
        <w:left w:val="none" w:sz="0" w:space="0" w:color="auto"/>
        <w:bottom w:val="none" w:sz="0" w:space="0" w:color="auto"/>
        <w:right w:val="none" w:sz="0" w:space="0" w:color="auto"/>
      </w:divBdr>
    </w:div>
    <w:div w:id="1063022686">
      <w:bodyDiv w:val="1"/>
      <w:marLeft w:val="0"/>
      <w:marRight w:val="0"/>
      <w:marTop w:val="0"/>
      <w:marBottom w:val="0"/>
      <w:divBdr>
        <w:top w:val="none" w:sz="0" w:space="0" w:color="auto"/>
        <w:left w:val="none" w:sz="0" w:space="0" w:color="auto"/>
        <w:bottom w:val="none" w:sz="0" w:space="0" w:color="auto"/>
        <w:right w:val="none" w:sz="0" w:space="0" w:color="auto"/>
      </w:divBdr>
    </w:div>
    <w:div w:id="1069884184">
      <w:bodyDiv w:val="1"/>
      <w:marLeft w:val="0"/>
      <w:marRight w:val="0"/>
      <w:marTop w:val="0"/>
      <w:marBottom w:val="0"/>
      <w:divBdr>
        <w:top w:val="none" w:sz="0" w:space="0" w:color="auto"/>
        <w:left w:val="none" w:sz="0" w:space="0" w:color="auto"/>
        <w:bottom w:val="none" w:sz="0" w:space="0" w:color="auto"/>
        <w:right w:val="none" w:sz="0" w:space="0" w:color="auto"/>
      </w:divBdr>
    </w:div>
    <w:div w:id="1075474453">
      <w:bodyDiv w:val="1"/>
      <w:marLeft w:val="0"/>
      <w:marRight w:val="0"/>
      <w:marTop w:val="0"/>
      <w:marBottom w:val="0"/>
      <w:divBdr>
        <w:top w:val="none" w:sz="0" w:space="0" w:color="auto"/>
        <w:left w:val="none" w:sz="0" w:space="0" w:color="auto"/>
        <w:bottom w:val="none" w:sz="0" w:space="0" w:color="auto"/>
        <w:right w:val="none" w:sz="0" w:space="0" w:color="auto"/>
      </w:divBdr>
    </w:div>
    <w:div w:id="1077434520">
      <w:bodyDiv w:val="1"/>
      <w:marLeft w:val="0"/>
      <w:marRight w:val="0"/>
      <w:marTop w:val="0"/>
      <w:marBottom w:val="0"/>
      <w:divBdr>
        <w:top w:val="none" w:sz="0" w:space="0" w:color="auto"/>
        <w:left w:val="none" w:sz="0" w:space="0" w:color="auto"/>
        <w:bottom w:val="none" w:sz="0" w:space="0" w:color="auto"/>
        <w:right w:val="none" w:sz="0" w:space="0" w:color="auto"/>
      </w:divBdr>
    </w:div>
    <w:div w:id="1078746081">
      <w:bodyDiv w:val="1"/>
      <w:marLeft w:val="0"/>
      <w:marRight w:val="0"/>
      <w:marTop w:val="0"/>
      <w:marBottom w:val="0"/>
      <w:divBdr>
        <w:top w:val="none" w:sz="0" w:space="0" w:color="auto"/>
        <w:left w:val="none" w:sz="0" w:space="0" w:color="auto"/>
        <w:bottom w:val="none" w:sz="0" w:space="0" w:color="auto"/>
        <w:right w:val="none" w:sz="0" w:space="0" w:color="auto"/>
      </w:divBdr>
    </w:div>
    <w:div w:id="1086342860">
      <w:bodyDiv w:val="1"/>
      <w:marLeft w:val="0"/>
      <w:marRight w:val="0"/>
      <w:marTop w:val="0"/>
      <w:marBottom w:val="0"/>
      <w:divBdr>
        <w:top w:val="none" w:sz="0" w:space="0" w:color="auto"/>
        <w:left w:val="none" w:sz="0" w:space="0" w:color="auto"/>
        <w:bottom w:val="none" w:sz="0" w:space="0" w:color="auto"/>
        <w:right w:val="none" w:sz="0" w:space="0" w:color="auto"/>
      </w:divBdr>
    </w:div>
    <w:div w:id="1087265564">
      <w:bodyDiv w:val="1"/>
      <w:marLeft w:val="0"/>
      <w:marRight w:val="0"/>
      <w:marTop w:val="0"/>
      <w:marBottom w:val="0"/>
      <w:divBdr>
        <w:top w:val="none" w:sz="0" w:space="0" w:color="auto"/>
        <w:left w:val="none" w:sz="0" w:space="0" w:color="auto"/>
        <w:bottom w:val="none" w:sz="0" w:space="0" w:color="auto"/>
        <w:right w:val="none" w:sz="0" w:space="0" w:color="auto"/>
      </w:divBdr>
    </w:div>
    <w:div w:id="1095709024">
      <w:bodyDiv w:val="1"/>
      <w:marLeft w:val="0"/>
      <w:marRight w:val="0"/>
      <w:marTop w:val="0"/>
      <w:marBottom w:val="0"/>
      <w:divBdr>
        <w:top w:val="none" w:sz="0" w:space="0" w:color="auto"/>
        <w:left w:val="none" w:sz="0" w:space="0" w:color="auto"/>
        <w:bottom w:val="none" w:sz="0" w:space="0" w:color="auto"/>
        <w:right w:val="none" w:sz="0" w:space="0" w:color="auto"/>
      </w:divBdr>
    </w:div>
    <w:div w:id="1106655874">
      <w:bodyDiv w:val="1"/>
      <w:marLeft w:val="0"/>
      <w:marRight w:val="0"/>
      <w:marTop w:val="0"/>
      <w:marBottom w:val="0"/>
      <w:divBdr>
        <w:top w:val="none" w:sz="0" w:space="0" w:color="auto"/>
        <w:left w:val="none" w:sz="0" w:space="0" w:color="auto"/>
        <w:bottom w:val="none" w:sz="0" w:space="0" w:color="auto"/>
        <w:right w:val="none" w:sz="0" w:space="0" w:color="auto"/>
      </w:divBdr>
    </w:div>
    <w:div w:id="1110080428">
      <w:bodyDiv w:val="1"/>
      <w:marLeft w:val="0"/>
      <w:marRight w:val="0"/>
      <w:marTop w:val="0"/>
      <w:marBottom w:val="0"/>
      <w:divBdr>
        <w:top w:val="none" w:sz="0" w:space="0" w:color="auto"/>
        <w:left w:val="none" w:sz="0" w:space="0" w:color="auto"/>
        <w:bottom w:val="none" w:sz="0" w:space="0" w:color="auto"/>
        <w:right w:val="none" w:sz="0" w:space="0" w:color="auto"/>
      </w:divBdr>
    </w:div>
    <w:div w:id="1111046812">
      <w:bodyDiv w:val="1"/>
      <w:marLeft w:val="0"/>
      <w:marRight w:val="0"/>
      <w:marTop w:val="0"/>
      <w:marBottom w:val="0"/>
      <w:divBdr>
        <w:top w:val="none" w:sz="0" w:space="0" w:color="auto"/>
        <w:left w:val="none" w:sz="0" w:space="0" w:color="auto"/>
        <w:bottom w:val="none" w:sz="0" w:space="0" w:color="auto"/>
        <w:right w:val="none" w:sz="0" w:space="0" w:color="auto"/>
      </w:divBdr>
    </w:div>
    <w:div w:id="1114445219">
      <w:bodyDiv w:val="1"/>
      <w:marLeft w:val="0"/>
      <w:marRight w:val="0"/>
      <w:marTop w:val="0"/>
      <w:marBottom w:val="0"/>
      <w:divBdr>
        <w:top w:val="none" w:sz="0" w:space="0" w:color="auto"/>
        <w:left w:val="none" w:sz="0" w:space="0" w:color="auto"/>
        <w:bottom w:val="none" w:sz="0" w:space="0" w:color="auto"/>
        <w:right w:val="none" w:sz="0" w:space="0" w:color="auto"/>
      </w:divBdr>
    </w:div>
    <w:div w:id="1115489638">
      <w:bodyDiv w:val="1"/>
      <w:marLeft w:val="0"/>
      <w:marRight w:val="0"/>
      <w:marTop w:val="0"/>
      <w:marBottom w:val="0"/>
      <w:divBdr>
        <w:top w:val="none" w:sz="0" w:space="0" w:color="auto"/>
        <w:left w:val="none" w:sz="0" w:space="0" w:color="auto"/>
        <w:bottom w:val="none" w:sz="0" w:space="0" w:color="auto"/>
        <w:right w:val="none" w:sz="0" w:space="0" w:color="auto"/>
      </w:divBdr>
    </w:div>
    <w:div w:id="1118184621">
      <w:bodyDiv w:val="1"/>
      <w:marLeft w:val="0"/>
      <w:marRight w:val="0"/>
      <w:marTop w:val="0"/>
      <w:marBottom w:val="0"/>
      <w:divBdr>
        <w:top w:val="none" w:sz="0" w:space="0" w:color="auto"/>
        <w:left w:val="none" w:sz="0" w:space="0" w:color="auto"/>
        <w:bottom w:val="none" w:sz="0" w:space="0" w:color="auto"/>
        <w:right w:val="none" w:sz="0" w:space="0" w:color="auto"/>
      </w:divBdr>
    </w:div>
    <w:div w:id="1118377914">
      <w:bodyDiv w:val="1"/>
      <w:marLeft w:val="0"/>
      <w:marRight w:val="0"/>
      <w:marTop w:val="0"/>
      <w:marBottom w:val="0"/>
      <w:divBdr>
        <w:top w:val="none" w:sz="0" w:space="0" w:color="auto"/>
        <w:left w:val="none" w:sz="0" w:space="0" w:color="auto"/>
        <w:bottom w:val="none" w:sz="0" w:space="0" w:color="auto"/>
        <w:right w:val="none" w:sz="0" w:space="0" w:color="auto"/>
      </w:divBdr>
    </w:div>
    <w:div w:id="1122187521">
      <w:bodyDiv w:val="1"/>
      <w:marLeft w:val="0"/>
      <w:marRight w:val="0"/>
      <w:marTop w:val="0"/>
      <w:marBottom w:val="0"/>
      <w:divBdr>
        <w:top w:val="none" w:sz="0" w:space="0" w:color="auto"/>
        <w:left w:val="none" w:sz="0" w:space="0" w:color="auto"/>
        <w:bottom w:val="none" w:sz="0" w:space="0" w:color="auto"/>
        <w:right w:val="none" w:sz="0" w:space="0" w:color="auto"/>
      </w:divBdr>
    </w:div>
    <w:div w:id="1127503104">
      <w:bodyDiv w:val="1"/>
      <w:marLeft w:val="0"/>
      <w:marRight w:val="0"/>
      <w:marTop w:val="0"/>
      <w:marBottom w:val="0"/>
      <w:divBdr>
        <w:top w:val="none" w:sz="0" w:space="0" w:color="auto"/>
        <w:left w:val="none" w:sz="0" w:space="0" w:color="auto"/>
        <w:bottom w:val="none" w:sz="0" w:space="0" w:color="auto"/>
        <w:right w:val="none" w:sz="0" w:space="0" w:color="auto"/>
      </w:divBdr>
    </w:div>
    <w:div w:id="1136529238">
      <w:bodyDiv w:val="1"/>
      <w:marLeft w:val="0"/>
      <w:marRight w:val="0"/>
      <w:marTop w:val="0"/>
      <w:marBottom w:val="0"/>
      <w:divBdr>
        <w:top w:val="none" w:sz="0" w:space="0" w:color="auto"/>
        <w:left w:val="none" w:sz="0" w:space="0" w:color="auto"/>
        <w:bottom w:val="none" w:sz="0" w:space="0" w:color="auto"/>
        <w:right w:val="none" w:sz="0" w:space="0" w:color="auto"/>
      </w:divBdr>
    </w:div>
    <w:div w:id="1139103911">
      <w:bodyDiv w:val="1"/>
      <w:marLeft w:val="0"/>
      <w:marRight w:val="0"/>
      <w:marTop w:val="0"/>
      <w:marBottom w:val="0"/>
      <w:divBdr>
        <w:top w:val="none" w:sz="0" w:space="0" w:color="auto"/>
        <w:left w:val="none" w:sz="0" w:space="0" w:color="auto"/>
        <w:bottom w:val="none" w:sz="0" w:space="0" w:color="auto"/>
        <w:right w:val="none" w:sz="0" w:space="0" w:color="auto"/>
      </w:divBdr>
    </w:div>
    <w:div w:id="1143624118">
      <w:bodyDiv w:val="1"/>
      <w:marLeft w:val="0"/>
      <w:marRight w:val="0"/>
      <w:marTop w:val="0"/>
      <w:marBottom w:val="0"/>
      <w:divBdr>
        <w:top w:val="none" w:sz="0" w:space="0" w:color="auto"/>
        <w:left w:val="none" w:sz="0" w:space="0" w:color="auto"/>
        <w:bottom w:val="none" w:sz="0" w:space="0" w:color="auto"/>
        <w:right w:val="none" w:sz="0" w:space="0" w:color="auto"/>
      </w:divBdr>
    </w:div>
    <w:div w:id="1144272179">
      <w:bodyDiv w:val="1"/>
      <w:marLeft w:val="0"/>
      <w:marRight w:val="0"/>
      <w:marTop w:val="0"/>
      <w:marBottom w:val="0"/>
      <w:divBdr>
        <w:top w:val="none" w:sz="0" w:space="0" w:color="auto"/>
        <w:left w:val="none" w:sz="0" w:space="0" w:color="auto"/>
        <w:bottom w:val="none" w:sz="0" w:space="0" w:color="auto"/>
        <w:right w:val="none" w:sz="0" w:space="0" w:color="auto"/>
      </w:divBdr>
    </w:div>
    <w:div w:id="1152984868">
      <w:bodyDiv w:val="1"/>
      <w:marLeft w:val="0"/>
      <w:marRight w:val="0"/>
      <w:marTop w:val="0"/>
      <w:marBottom w:val="0"/>
      <w:divBdr>
        <w:top w:val="none" w:sz="0" w:space="0" w:color="auto"/>
        <w:left w:val="none" w:sz="0" w:space="0" w:color="auto"/>
        <w:bottom w:val="none" w:sz="0" w:space="0" w:color="auto"/>
        <w:right w:val="none" w:sz="0" w:space="0" w:color="auto"/>
      </w:divBdr>
    </w:div>
    <w:div w:id="1155879210">
      <w:bodyDiv w:val="1"/>
      <w:marLeft w:val="0"/>
      <w:marRight w:val="0"/>
      <w:marTop w:val="0"/>
      <w:marBottom w:val="0"/>
      <w:divBdr>
        <w:top w:val="none" w:sz="0" w:space="0" w:color="auto"/>
        <w:left w:val="none" w:sz="0" w:space="0" w:color="auto"/>
        <w:bottom w:val="none" w:sz="0" w:space="0" w:color="auto"/>
        <w:right w:val="none" w:sz="0" w:space="0" w:color="auto"/>
      </w:divBdr>
    </w:div>
    <w:div w:id="1161774845">
      <w:bodyDiv w:val="1"/>
      <w:marLeft w:val="0"/>
      <w:marRight w:val="0"/>
      <w:marTop w:val="0"/>
      <w:marBottom w:val="0"/>
      <w:divBdr>
        <w:top w:val="none" w:sz="0" w:space="0" w:color="auto"/>
        <w:left w:val="none" w:sz="0" w:space="0" w:color="auto"/>
        <w:bottom w:val="none" w:sz="0" w:space="0" w:color="auto"/>
        <w:right w:val="none" w:sz="0" w:space="0" w:color="auto"/>
      </w:divBdr>
    </w:div>
    <w:div w:id="1167861353">
      <w:bodyDiv w:val="1"/>
      <w:marLeft w:val="0"/>
      <w:marRight w:val="0"/>
      <w:marTop w:val="0"/>
      <w:marBottom w:val="0"/>
      <w:divBdr>
        <w:top w:val="none" w:sz="0" w:space="0" w:color="auto"/>
        <w:left w:val="none" w:sz="0" w:space="0" w:color="auto"/>
        <w:bottom w:val="none" w:sz="0" w:space="0" w:color="auto"/>
        <w:right w:val="none" w:sz="0" w:space="0" w:color="auto"/>
      </w:divBdr>
    </w:div>
    <w:div w:id="1172450109">
      <w:bodyDiv w:val="1"/>
      <w:marLeft w:val="0"/>
      <w:marRight w:val="0"/>
      <w:marTop w:val="0"/>
      <w:marBottom w:val="0"/>
      <w:divBdr>
        <w:top w:val="none" w:sz="0" w:space="0" w:color="auto"/>
        <w:left w:val="none" w:sz="0" w:space="0" w:color="auto"/>
        <w:bottom w:val="none" w:sz="0" w:space="0" w:color="auto"/>
        <w:right w:val="none" w:sz="0" w:space="0" w:color="auto"/>
      </w:divBdr>
    </w:div>
    <w:div w:id="1174685367">
      <w:bodyDiv w:val="1"/>
      <w:marLeft w:val="0"/>
      <w:marRight w:val="0"/>
      <w:marTop w:val="0"/>
      <w:marBottom w:val="0"/>
      <w:divBdr>
        <w:top w:val="none" w:sz="0" w:space="0" w:color="auto"/>
        <w:left w:val="none" w:sz="0" w:space="0" w:color="auto"/>
        <w:bottom w:val="none" w:sz="0" w:space="0" w:color="auto"/>
        <w:right w:val="none" w:sz="0" w:space="0" w:color="auto"/>
      </w:divBdr>
    </w:div>
    <w:div w:id="1182167814">
      <w:bodyDiv w:val="1"/>
      <w:marLeft w:val="0"/>
      <w:marRight w:val="0"/>
      <w:marTop w:val="0"/>
      <w:marBottom w:val="0"/>
      <w:divBdr>
        <w:top w:val="none" w:sz="0" w:space="0" w:color="auto"/>
        <w:left w:val="none" w:sz="0" w:space="0" w:color="auto"/>
        <w:bottom w:val="none" w:sz="0" w:space="0" w:color="auto"/>
        <w:right w:val="none" w:sz="0" w:space="0" w:color="auto"/>
      </w:divBdr>
    </w:div>
    <w:div w:id="1182428234">
      <w:bodyDiv w:val="1"/>
      <w:marLeft w:val="0"/>
      <w:marRight w:val="0"/>
      <w:marTop w:val="0"/>
      <w:marBottom w:val="0"/>
      <w:divBdr>
        <w:top w:val="none" w:sz="0" w:space="0" w:color="auto"/>
        <w:left w:val="none" w:sz="0" w:space="0" w:color="auto"/>
        <w:bottom w:val="none" w:sz="0" w:space="0" w:color="auto"/>
        <w:right w:val="none" w:sz="0" w:space="0" w:color="auto"/>
      </w:divBdr>
    </w:div>
    <w:div w:id="1182476725">
      <w:bodyDiv w:val="1"/>
      <w:marLeft w:val="0"/>
      <w:marRight w:val="0"/>
      <w:marTop w:val="0"/>
      <w:marBottom w:val="0"/>
      <w:divBdr>
        <w:top w:val="none" w:sz="0" w:space="0" w:color="auto"/>
        <w:left w:val="none" w:sz="0" w:space="0" w:color="auto"/>
        <w:bottom w:val="none" w:sz="0" w:space="0" w:color="auto"/>
        <w:right w:val="none" w:sz="0" w:space="0" w:color="auto"/>
      </w:divBdr>
    </w:div>
    <w:div w:id="1183975049">
      <w:bodyDiv w:val="1"/>
      <w:marLeft w:val="0"/>
      <w:marRight w:val="0"/>
      <w:marTop w:val="0"/>
      <w:marBottom w:val="0"/>
      <w:divBdr>
        <w:top w:val="none" w:sz="0" w:space="0" w:color="auto"/>
        <w:left w:val="none" w:sz="0" w:space="0" w:color="auto"/>
        <w:bottom w:val="none" w:sz="0" w:space="0" w:color="auto"/>
        <w:right w:val="none" w:sz="0" w:space="0" w:color="auto"/>
      </w:divBdr>
    </w:div>
    <w:div w:id="1187257858">
      <w:bodyDiv w:val="1"/>
      <w:marLeft w:val="0"/>
      <w:marRight w:val="0"/>
      <w:marTop w:val="0"/>
      <w:marBottom w:val="0"/>
      <w:divBdr>
        <w:top w:val="none" w:sz="0" w:space="0" w:color="auto"/>
        <w:left w:val="none" w:sz="0" w:space="0" w:color="auto"/>
        <w:bottom w:val="none" w:sz="0" w:space="0" w:color="auto"/>
        <w:right w:val="none" w:sz="0" w:space="0" w:color="auto"/>
      </w:divBdr>
    </w:div>
    <w:div w:id="1193154972">
      <w:bodyDiv w:val="1"/>
      <w:marLeft w:val="0"/>
      <w:marRight w:val="0"/>
      <w:marTop w:val="0"/>
      <w:marBottom w:val="0"/>
      <w:divBdr>
        <w:top w:val="none" w:sz="0" w:space="0" w:color="auto"/>
        <w:left w:val="none" w:sz="0" w:space="0" w:color="auto"/>
        <w:bottom w:val="none" w:sz="0" w:space="0" w:color="auto"/>
        <w:right w:val="none" w:sz="0" w:space="0" w:color="auto"/>
      </w:divBdr>
    </w:div>
    <w:div w:id="1194532863">
      <w:bodyDiv w:val="1"/>
      <w:marLeft w:val="0"/>
      <w:marRight w:val="0"/>
      <w:marTop w:val="0"/>
      <w:marBottom w:val="0"/>
      <w:divBdr>
        <w:top w:val="none" w:sz="0" w:space="0" w:color="auto"/>
        <w:left w:val="none" w:sz="0" w:space="0" w:color="auto"/>
        <w:bottom w:val="none" w:sz="0" w:space="0" w:color="auto"/>
        <w:right w:val="none" w:sz="0" w:space="0" w:color="auto"/>
      </w:divBdr>
    </w:div>
    <w:div w:id="1204489072">
      <w:bodyDiv w:val="1"/>
      <w:marLeft w:val="0"/>
      <w:marRight w:val="0"/>
      <w:marTop w:val="0"/>
      <w:marBottom w:val="0"/>
      <w:divBdr>
        <w:top w:val="none" w:sz="0" w:space="0" w:color="auto"/>
        <w:left w:val="none" w:sz="0" w:space="0" w:color="auto"/>
        <w:bottom w:val="none" w:sz="0" w:space="0" w:color="auto"/>
        <w:right w:val="none" w:sz="0" w:space="0" w:color="auto"/>
      </w:divBdr>
    </w:div>
    <w:div w:id="1206408658">
      <w:bodyDiv w:val="1"/>
      <w:marLeft w:val="0"/>
      <w:marRight w:val="0"/>
      <w:marTop w:val="0"/>
      <w:marBottom w:val="0"/>
      <w:divBdr>
        <w:top w:val="none" w:sz="0" w:space="0" w:color="auto"/>
        <w:left w:val="none" w:sz="0" w:space="0" w:color="auto"/>
        <w:bottom w:val="none" w:sz="0" w:space="0" w:color="auto"/>
        <w:right w:val="none" w:sz="0" w:space="0" w:color="auto"/>
      </w:divBdr>
    </w:div>
    <w:div w:id="1206408803">
      <w:bodyDiv w:val="1"/>
      <w:marLeft w:val="0"/>
      <w:marRight w:val="0"/>
      <w:marTop w:val="0"/>
      <w:marBottom w:val="0"/>
      <w:divBdr>
        <w:top w:val="none" w:sz="0" w:space="0" w:color="auto"/>
        <w:left w:val="none" w:sz="0" w:space="0" w:color="auto"/>
        <w:bottom w:val="none" w:sz="0" w:space="0" w:color="auto"/>
        <w:right w:val="none" w:sz="0" w:space="0" w:color="auto"/>
      </w:divBdr>
    </w:div>
    <w:div w:id="1206795433">
      <w:bodyDiv w:val="1"/>
      <w:marLeft w:val="0"/>
      <w:marRight w:val="0"/>
      <w:marTop w:val="0"/>
      <w:marBottom w:val="0"/>
      <w:divBdr>
        <w:top w:val="none" w:sz="0" w:space="0" w:color="auto"/>
        <w:left w:val="none" w:sz="0" w:space="0" w:color="auto"/>
        <w:bottom w:val="none" w:sz="0" w:space="0" w:color="auto"/>
        <w:right w:val="none" w:sz="0" w:space="0" w:color="auto"/>
      </w:divBdr>
    </w:div>
    <w:div w:id="1207257444">
      <w:bodyDiv w:val="1"/>
      <w:marLeft w:val="0"/>
      <w:marRight w:val="0"/>
      <w:marTop w:val="0"/>
      <w:marBottom w:val="0"/>
      <w:divBdr>
        <w:top w:val="none" w:sz="0" w:space="0" w:color="auto"/>
        <w:left w:val="none" w:sz="0" w:space="0" w:color="auto"/>
        <w:bottom w:val="none" w:sz="0" w:space="0" w:color="auto"/>
        <w:right w:val="none" w:sz="0" w:space="0" w:color="auto"/>
      </w:divBdr>
    </w:div>
    <w:div w:id="1213540580">
      <w:bodyDiv w:val="1"/>
      <w:marLeft w:val="0"/>
      <w:marRight w:val="0"/>
      <w:marTop w:val="0"/>
      <w:marBottom w:val="0"/>
      <w:divBdr>
        <w:top w:val="none" w:sz="0" w:space="0" w:color="auto"/>
        <w:left w:val="none" w:sz="0" w:space="0" w:color="auto"/>
        <w:bottom w:val="none" w:sz="0" w:space="0" w:color="auto"/>
        <w:right w:val="none" w:sz="0" w:space="0" w:color="auto"/>
      </w:divBdr>
    </w:div>
    <w:div w:id="1215584847">
      <w:bodyDiv w:val="1"/>
      <w:marLeft w:val="0"/>
      <w:marRight w:val="0"/>
      <w:marTop w:val="0"/>
      <w:marBottom w:val="0"/>
      <w:divBdr>
        <w:top w:val="none" w:sz="0" w:space="0" w:color="auto"/>
        <w:left w:val="none" w:sz="0" w:space="0" w:color="auto"/>
        <w:bottom w:val="none" w:sz="0" w:space="0" w:color="auto"/>
        <w:right w:val="none" w:sz="0" w:space="0" w:color="auto"/>
      </w:divBdr>
    </w:div>
    <w:div w:id="1223757404">
      <w:bodyDiv w:val="1"/>
      <w:marLeft w:val="0"/>
      <w:marRight w:val="0"/>
      <w:marTop w:val="0"/>
      <w:marBottom w:val="0"/>
      <w:divBdr>
        <w:top w:val="none" w:sz="0" w:space="0" w:color="auto"/>
        <w:left w:val="none" w:sz="0" w:space="0" w:color="auto"/>
        <w:bottom w:val="none" w:sz="0" w:space="0" w:color="auto"/>
        <w:right w:val="none" w:sz="0" w:space="0" w:color="auto"/>
      </w:divBdr>
    </w:div>
    <w:div w:id="1224415668">
      <w:bodyDiv w:val="1"/>
      <w:marLeft w:val="0"/>
      <w:marRight w:val="0"/>
      <w:marTop w:val="0"/>
      <w:marBottom w:val="0"/>
      <w:divBdr>
        <w:top w:val="none" w:sz="0" w:space="0" w:color="auto"/>
        <w:left w:val="none" w:sz="0" w:space="0" w:color="auto"/>
        <w:bottom w:val="none" w:sz="0" w:space="0" w:color="auto"/>
        <w:right w:val="none" w:sz="0" w:space="0" w:color="auto"/>
      </w:divBdr>
    </w:div>
    <w:div w:id="1229026769">
      <w:bodyDiv w:val="1"/>
      <w:marLeft w:val="0"/>
      <w:marRight w:val="0"/>
      <w:marTop w:val="0"/>
      <w:marBottom w:val="0"/>
      <w:divBdr>
        <w:top w:val="none" w:sz="0" w:space="0" w:color="auto"/>
        <w:left w:val="none" w:sz="0" w:space="0" w:color="auto"/>
        <w:bottom w:val="none" w:sz="0" w:space="0" w:color="auto"/>
        <w:right w:val="none" w:sz="0" w:space="0" w:color="auto"/>
      </w:divBdr>
    </w:div>
    <w:div w:id="1231384500">
      <w:bodyDiv w:val="1"/>
      <w:marLeft w:val="0"/>
      <w:marRight w:val="0"/>
      <w:marTop w:val="0"/>
      <w:marBottom w:val="0"/>
      <w:divBdr>
        <w:top w:val="none" w:sz="0" w:space="0" w:color="auto"/>
        <w:left w:val="none" w:sz="0" w:space="0" w:color="auto"/>
        <w:bottom w:val="none" w:sz="0" w:space="0" w:color="auto"/>
        <w:right w:val="none" w:sz="0" w:space="0" w:color="auto"/>
      </w:divBdr>
    </w:div>
    <w:div w:id="1236554470">
      <w:bodyDiv w:val="1"/>
      <w:marLeft w:val="0"/>
      <w:marRight w:val="0"/>
      <w:marTop w:val="0"/>
      <w:marBottom w:val="0"/>
      <w:divBdr>
        <w:top w:val="none" w:sz="0" w:space="0" w:color="auto"/>
        <w:left w:val="none" w:sz="0" w:space="0" w:color="auto"/>
        <w:bottom w:val="none" w:sz="0" w:space="0" w:color="auto"/>
        <w:right w:val="none" w:sz="0" w:space="0" w:color="auto"/>
      </w:divBdr>
    </w:div>
    <w:div w:id="1238132664">
      <w:bodyDiv w:val="1"/>
      <w:marLeft w:val="0"/>
      <w:marRight w:val="0"/>
      <w:marTop w:val="0"/>
      <w:marBottom w:val="0"/>
      <w:divBdr>
        <w:top w:val="none" w:sz="0" w:space="0" w:color="auto"/>
        <w:left w:val="none" w:sz="0" w:space="0" w:color="auto"/>
        <w:bottom w:val="none" w:sz="0" w:space="0" w:color="auto"/>
        <w:right w:val="none" w:sz="0" w:space="0" w:color="auto"/>
      </w:divBdr>
    </w:div>
    <w:div w:id="1244529017">
      <w:bodyDiv w:val="1"/>
      <w:marLeft w:val="0"/>
      <w:marRight w:val="0"/>
      <w:marTop w:val="0"/>
      <w:marBottom w:val="0"/>
      <w:divBdr>
        <w:top w:val="none" w:sz="0" w:space="0" w:color="auto"/>
        <w:left w:val="none" w:sz="0" w:space="0" w:color="auto"/>
        <w:bottom w:val="none" w:sz="0" w:space="0" w:color="auto"/>
        <w:right w:val="none" w:sz="0" w:space="0" w:color="auto"/>
      </w:divBdr>
    </w:div>
    <w:div w:id="1245605113">
      <w:bodyDiv w:val="1"/>
      <w:marLeft w:val="0"/>
      <w:marRight w:val="0"/>
      <w:marTop w:val="0"/>
      <w:marBottom w:val="0"/>
      <w:divBdr>
        <w:top w:val="none" w:sz="0" w:space="0" w:color="auto"/>
        <w:left w:val="none" w:sz="0" w:space="0" w:color="auto"/>
        <w:bottom w:val="none" w:sz="0" w:space="0" w:color="auto"/>
        <w:right w:val="none" w:sz="0" w:space="0" w:color="auto"/>
      </w:divBdr>
    </w:div>
    <w:div w:id="1249116956">
      <w:bodyDiv w:val="1"/>
      <w:marLeft w:val="0"/>
      <w:marRight w:val="0"/>
      <w:marTop w:val="0"/>
      <w:marBottom w:val="0"/>
      <w:divBdr>
        <w:top w:val="none" w:sz="0" w:space="0" w:color="auto"/>
        <w:left w:val="none" w:sz="0" w:space="0" w:color="auto"/>
        <w:bottom w:val="none" w:sz="0" w:space="0" w:color="auto"/>
        <w:right w:val="none" w:sz="0" w:space="0" w:color="auto"/>
      </w:divBdr>
    </w:div>
    <w:div w:id="1264336332">
      <w:bodyDiv w:val="1"/>
      <w:marLeft w:val="0"/>
      <w:marRight w:val="0"/>
      <w:marTop w:val="0"/>
      <w:marBottom w:val="0"/>
      <w:divBdr>
        <w:top w:val="none" w:sz="0" w:space="0" w:color="auto"/>
        <w:left w:val="none" w:sz="0" w:space="0" w:color="auto"/>
        <w:bottom w:val="none" w:sz="0" w:space="0" w:color="auto"/>
        <w:right w:val="none" w:sz="0" w:space="0" w:color="auto"/>
      </w:divBdr>
    </w:div>
    <w:div w:id="1264651685">
      <w:bodyDiv w:val="1"/>
      <w:marLeft w:val="0"/>
      <w:marRight w:val="0"/>
      <w:marTop w:val="0"/>
      <w:marBottom w:val="0"/>
      <w:divBdr>
        <w:top w:val="none" w:sz="0" w:space="0" w:color="auto"/>
        <w:left w:val="none" w:sz="0" w:space="0" w:color="auto"/>
        <w:bottom w:val="none" w:sz="0" w:space="0" w:color="auto"/>
        <w:right w:val="none" w:sz="0" w:space="0" w:color="auto"/>
      </w:divBdr>
    </w:div>
    <w:div w:id="1267158821">
      <w:bodyDiv w:val="1"/>
      <w:marLeft w:val="0"/>
      <w:marRight w:val="0"/>
      <w:marTop w:val="0"/>
      <w:marBottom w:val="0"/>
      <w:divBdr>
        <w:top w:val="none" w:sz="0" w:space="0" w:color="auto"/>
        <w:left w:val="none" w:sz="0" w:space="0" w:color="auto"/>
        <w:bottom w:val="none" w:sz="0" w:space="0" w:color="auto"/>
        <w:right w:val="none" w:sz="0" w:space="0" w:color="auto"/>
      </w:divBdr>
    </w:div>
    <w:div w:id="1273516321">
      <w:bodyDiv w:val="1"/>
      <w:marLeft w:val="0"/>
      <w:marRight w:val="0"/>
      <w:marTop w:val="0"/>
      <w:marBottom w:val="0"/>
      <w:divBdr>
        <w:top w:val="none" w:sz="0" w:space="0" w:color="auto"/>
        <w:left w:val="none" w:sz="0" w:space="0" w:color="auto"/>
        <w:bottom w:val="none" w:sz="0" w:space="0" w:color="auto"/>
        <w:right w:val="none" w:sz="0" w:space="0" w:color="auto"/>
      </w:divBdr>
    </w:div>
    <w:div w:id="1273825374">
      <w:bodyDiv w:val="1"/>
      <w:marLeft w:val="0"/>
      <w:marRight w:val="0"/>
      <w:marTop w:val="0"/>
      <w:marBottom w:val="0"/>
      <w:divBdr>
        <w:top w:val="none" w:sz="0" w:space="0" w:color="auto"/>
        <w:left w:val="none" w:sz="0" w:space="0" w:color="auto"/>
        <w:bottom w:val="none" w:sz="0" w:space="0" w:color="auto"/>
        <w:right w:val="none" w:sz="0" w:space="0" w:color="auto"/>
      </w:divBdr>
    </w:div>
    <w:div w:id="1274822335">
      <w:bodyDiv w:val="1"/>
      <w:marLeft w:val="0"/>
      <w:marRight w:val="0"/>
      <w:marTop w:val="0"/>
      <w:marBottom w:val="0"/>
      <w:divBdr>
        <w:top w:val="none" w:sz="0" w:space="0" w:color="auto"/>
        <w:left w:val="none" w:sz="0" w:space="0" w:color="auto"/>
        <w:bottom w:val="none" w:sz="0" w:space="0" w:color="auto"/>
        <w:right w:val="none" w:sz="0" w:space="0" w:color="auto"/>
      </w:divBdr>
    </w:div>
    <w:div w:id="1279486981">
      <w:bodyDiv w:val="1"/>
      <w:marLeft w:val="0"/>
      <w:marRight w:val="0"/>
      <w:marTop w:val="0"/>
      <w:marBottom w:val="0"/>
      <w:divBdr>
        <w:top w:val="none" w:sz="0" w:space="0" w:color="auto"/>
        <w:left w:val="none" w:sz="0" w:space="0" w:color="auto"/>
        <w:bottom w:val="none" w:sz="0" w:space="0" w:color="auto"/>
        <w:right w:val="none" w:sz="0" w:space="0" w:color="auto"/>
      </w:divBdr>
    </w:div>
    <w:div w:id="1288120773">
      <w:bodyDiv w:val="1"/>
      <w:marLeft w:val="0"/>
      <w:marRight w:val="0"/>
      <w:marTop w:val="0"/>
      <w:marBottom w:val="0"/>
      <w:divBdr>
        <w:top w:val="none" w:sz="0" w:space="0" w:color="auto"/>
        <w:left w:val="none" w:sz="0" w:space="0" w:color="auto"/>
        <w:bottom w:val="none" w:sz="0" w:space="0" w:color="auto"/>
        <w:right w:val="none" w:sz="0" w:space="0" w:color="auto"/>
      </w:divBdr>
    </w:div>
    <w:div w:id="1292402261">
      <w:bodyDiv w:val="1"/>
      <w:marLeft w:val="0"/>
      <w:marRight w:val="0"/>
      <w:marTop w:val="0"/>
      <w:marBottom w:val="0"/>
      <w:divBdr>
        <w:top w:val="none" w:sz="0" w:space="0" w:color="auto"/>
        <w:left w:val="none" w:sz="0" w:space="0" w:color="auto"/>
        <w:bottom w:val="none" w:sz="0" w:space="0" w:color="auto"/>
        <w:right w:val="none" w:sz="0" w:space="0" w:color="auto"/>
      </w:divBdr>
    </w:div>
    <w:div w:id="1294483371">
      <w:bodyDiv w:val="1"/>
      <w:marLeft w:val="0"/>
      <w:marRight w:val="0"/>
      <w:marTop w:val="0"/>
      <w:marBottom w:val="0"/>
      <w:divBdr>
        <w:top w:val="none" w:sz="0" w:space="0" w:color="auto"/>
        <w:left w:val="none" w:sz="0" w:space="0" w:color="auto"/>
        <w:bottom w:val="none" w:sz="0" w:space="0" w:color="auto"/>
        <w:right w:val="none" w:sz="0" w:space="0" w:color="auto"/>
      </w:divBdr>
    </w:div>
    <w:div w:id="1297445981">
      <w:bodyDiv w:val="1"/>
      <w:marLeft w:val="0"/>
      <w:marRight w:val="0"/>
      <w:marTop w:val="0"/>
      <w:marBottom w:val="0"/>
      <w:divBdr>
        <w:top w:val="none" w:sz="0" w:space="0" w:color="auto"/>
        <w:left w:val="none" w:sz="0" w:space="0" w:color="auto"/>
        <w:bottom w:val="none" w:sz="0" w:space="0" w:color="auto"/>
        <w:right w:val="none" w:sz="0" w:space="0" w:color="auto"/>
      </w:divBdr>
    </w:div>
    <w:div w:id="1309356740">
      <w:bodyDiv w:val="1"/>
      <w:marLeft w:val="0"/>
      <w:marRight w:val="0"/>
      <w:marTop w:val="0"/>
      <w:marBottom w:val="0"/>
      <w:divBdr>
        <w:top w:val="none" w:sz="0" w:space="0" w:color="auto"/>
        <w:left w:val="none" w:sz="0" w:space="0" w:color="auto"/>
        <w:bottom w:val="none" w:sz="0" w:space="0" w:color="auto"/>
        <w:right w:val="none" w:sz="0" w:space="0" w:color="auto"/>
      </w:divBdr>
    </w:div>
    <w:div w:id="1311133551">
      <w:bodyDiv w:val="1"/>
      <w:marLeft w:val="0"/>
      <w:marRight w:val="0"/>
      <w:marTop w:val="0"/>
      <w:marBottom w:val="0"/>
      <w:divBdr>
        <w:top w:val="none" w:sz="0" w:space="0" w:color="auto"/>
        <w:left w:val="none" w:sz="0" w:space="0" w:color="auto"/>
        <w:bottom w:val="none" w:sz="0" w:space="0" w:color="auto"/>
        <w:right w:val="none" w:sz="0" w:space="0" w:color="auto"/>
      </w:divBdr>
    </w:div>
    <w:div w:id="1313605298">
      <w:bodyDiv w:val="1"/>
      <w:marLeft w:val="0"/>
      <w:marRight w:val="0"/>
      <w:marTop w:val="0"/>
      <w:marBottom w:val="0"/>
      <w:divBdr>
        <w:top w:val="none" w:sz="0" w:space="0" w:color="auto"/>
        <w:left w:val="none" w:sz="0" w:space="0" w:color="auto"/>
        <w:bottom w:val="none" w:sz="0" w:space="0" w:color="auto"/>
        <w:right w:val="none" w:sz="0" w:space="0" w:color="auto"/>
      </w:divBdr>
    </w:div>
    <w:div w:id="1318337325">
      <w:bodyDiv w:val="1"/>
      <w:marLeft w:val="0"/>
      <w:marRight w:val="0"/>
      <w:marTop w:val="0"/>
      <w:marBottom w:val="0"/>
      <w:divBdr>
        <w:top w:val="none" w:sz="0" w:space="0" w:color="auto"/>
        <w:left w:val="none" w:sz="0" w:space="0" w:color="auto"/>
        <w:bottom w:val="none" w:sz="0" w:space="0" w:color="auto"/>
        <w:right w:val="none" w:sz="0" w:space="0" w:color="auto"/>
      </w:divBdr>
    </w:div>
    <w:div w:id="1319846141">
      <w:bodyDiv w:val="1"/>
      <w:marLeft w:val="0"/>
      <w:marRight w:val="0"/>
      <w:marTop w:val="0"/>
      <w:marBottom w:val="0"/>
      <w:divBdr>
        <w:top w:val="none" w:sz="0" w:space="0" w:color="auto"/>
        <w:left w:val="none" w:sz="0" w:space="0" w:color="auto"/>
        <w:bottom w:val="none" w:sz="0" w:space="0" w:color="auto"/>
        <w:right w:val="none" w:sz="0" w:space="0" w:color="auto"/>
      </w:divBdr>
    </w:div>
    <w:div w:id="1323460473">
      <w:bodyDiv w:val="1"/>
      <w:marLeft w:val="0"/>
      <w:marRight w:val="0"/>
      <w:marTop w:val="0"/>
      <w:marBottom w:val="0"/>
      <w:divBdr>
        <w:top w:val="none" w:sz="0" w:space="0" w:color="auto"/>
        <w:left w:val="none" w:sz="0" w:space="0" w:color="auto"/>
        <w:bottom w:val="none" w:sz="0" w:space="0" w:color="auto"/>
        <w:right w:val="none" w:sz="0" w:space="0" w:color="auto"/>
      </w:divBdr>
    </w:div>
    <w:div w:id="1326519210">
      <w:bodyDiv w:val="1"/>
      <w:marLeft w:val="0"/>
      <w:marRight w:val="0"/>
      <w:marTop w:val="0"/>
      <w:marBottom w:val="0"/>
      <w:divBdr>
        <w:top w:val="none" w:sz="0" w:space="0" w:color="auto"/>
        <w:left w:val="none" w:sz="0" w:space="0" w:color="auto"/>
        <w:bottom w:val="none" w:sz="0" w:space="0" w:color="auto"/>
        <w:right w:val="none" w:sz="0" w:space="0" w:color="auto"/>
      </w:divBdr>
    </w:div>
    <w:div w:id="1330401678">
      <w:bodyDiv w:val="1"/>
      <w:marLeft w:val="0"/>
      <w:marRight w:val="0"/>
      <w:marTop w:val="0"/>
      <w:marBottom w:val="0"/>
      <w:divBdr>
        <w:top w:val="none" w:sz="0" w:space="0" w:color="auto"/>
        <w:left w:val="none" w:sz="0" w:space="0" w:color="auto"/>
        <w:bottom w:val="none" w:sz="0" w:space="0" w:color="auto"/>
        <w:right w:val="none" w:sz="0" w:space="0" w:color="auto"/>
      </w:divBdr>
    </w:div>
    <w:div w:id="1330905201">
      <w:bodyDiv w:val="1"/>
      <w:marLeft w:val="0"/>
      <w:marRight w:val="0"/>
      <w:marTop w:val="0"/>
      <w:marBottom w:val="0"/>
      <w:divBdr>
        <w:top w:val="none" w:sz="0" w:space="0" w:color="auto"/>
        <w:left w:val="none" w:sz="0" w:space="0" w:color="auto"/>
        <w:bottom w:val="none" w:sz="0" w:space="0" w:color="auto"/>
        <w:right w:val="none" w:sz="0" w:space="0" w:color="auto"/>
      </w:divBdr>
    </w:div>
    <w:div w:id="1332484524">
      <w:bodyDiv w:val="1"/>
      <w:marLeft w:val="0"/>
      <w:marRight w:val="0"/>
      <w:marTop w:val="0"/>
      <w:marBottom w:val="0"/>
      <w:divBdr>
        <w:top w:val="none" w:sz="0" w:space="0" w:color="auto"/>
        <w:left w:val="none" w:sz="0" w:space="0" w:color="auto"/>
        <w:bottom w:val="none" w:sz="0" w:space="0" w:color="auto"/>
        <w:right w:val="none" w:sz="0" w:space="0" w:color="auto"/>
      </w:divBdr>
    </w:div>
    <w:div w:id="1334995083">
      <w:bodyDiv w:val="1"/>
      <w:marLeft w:val="0"/>
      <w:marRight w:val="0"/>
      <w:marTop w:val="0"/>
      <w:marBottom w:val="0"/>
      <w:divBdr>
        <w:top w:val="none" w:sz="0" w:space="0" w:color="auto"/>
        <w:left w:val="none" w:sz="0" w:space="0" w:color="auto"/>
        <w:bottom w:val="none" w:sz="0" w:space="0" w:color="auto"/>
        <w:right w:val="none" w:sz="0" w:space="0" w:color="auto"/>
      </w:divBdr>
    </w:div>
    <w:div w:id="1339456247">
      <w:bodyDiv w:val="1"/>
      <w:marLeft w:val="0"/>
      <w:marRight w:val="0"/>
      <w:marTop w:val="0"/>
      <w:marBottom w:val="0"/>
      <w:divBdr>
        <w:top w:val="none" w:sz="0" w:space="0" w:color="auto"/>
        <w:left w:val="none" w:sz="0" w:space="0" w:color="auto"/>
        <w:bottom w:val="none" w:sz="0" w:space="0" w:color="auto"/>
        <w:right w:val="none" w:sz="0" w:space="0" w:color="auto"/>
      </w:divBdr>
    </w:div>
    <w:div w:id="1360231778">
      <w:bodyDiv w:val="1"/>
      <w:marLeft w:val="0"/>
      <w:marRight w:val="0"/>
      <w:marTop w:val="0"/>
      <w:marBottom w:val="0"/>
      <w:divBdr>
        <w:top w:val="none" w:sz="0" w:space="0" w:color="auto"/>
        <w:left w:val="none" w:sz="0" w:space="0" w:color="auto"/>
        <w:bottom w:val="none" w:sz="0" w:space="0" w:color="auto"/>
        <w:right w:val="none" w:sz="0" w:space="0" w:color="auto"/>
      </w:divBdr>
    </w:div>
    <w:div w:id="1362169569">
      <w:bodyDiv w:val="1"/>
      <w:marLeft w:val="0"/>
      <w:marRight w:val="0"/>
      <w:marTop w:val="0"/>
      <w:marBottom w:val="0"/>
      <w:divBdr>
        <w:top w:val="none" w:sz="0" w:space="0" w:color="auto"/>
        <w:left w:val="none" w:sz="0" w:space="0" w:color="auto"/>
        <w:bottom w:val="none" w:sz="0" w:space="0" w:color="auto"/>
        <w:right w:val="none" w:sz="0" w:space="0" w:color="auto"/>
      </w:divBdr>
    </w:div>
    <w:div w:id="1364480171">
      <w:bodyDiv w:val="1"/>
      <w:marLeft w:val="0"/>
      <w:marRight w:val="0"/>
      <w:marTop w:val="0"/>
      <w:marBottom w:val="0"/>
      <w:divBdr>
        <w:top w:val="none" w:sz="0" w:space="0" w:color="auto"/>
        <w:left w:val="none" w:sz="0" w:space="0" w:color="auto"/>
        <w:bottom w:val="none" w:sz="0" w:space="0" w:color="auto"/>
        <w:right w:val="none" w:sz="0" w:space="0" w:color="auto"/>
      </w:divBdr>
    </w:div>
    <w:div w:id="1367828861">
      <w:bodyDiv w:val="1"/>
      <w:marLeft w:val="0"/>
      <w:marRight w:val="0"/>
      <w:marTop w:val="0"/>
      <w:marBottom w:val="0"/>
      <w:divBdr>
        <w:top w:val="none" w:sz="0" w:space="0" w:color="auto"/>
        <w:left w:val="none" w:sz="0" w:space="0" w:color="auto"/>
        <w:bottom w:val="none" w:sz="0" w:space="0" w:color="auto"/>
        <w:right w:val="none" w:sz="0" w:space="0" w:color="auto"/>
      </w:divBdr>
    </w:div>
    <w:div w:id="1369449288">
      <w:bodyDiv w:val="1"/>
      <w:marLeft w:val="0"/>
      <w:marRight w:val="0"/>
      <w:marTop w:val="0"/>
      <w:marBottom w:val="0"/>
      <w:divBdr>
        <w:top w:val="none" w:sz="0" w:space="0" w:color="auto"/>
        <w:left w:val="none" w:sz="0" w:space="0" w:color="auto"/>
        <w:bottom w:val="none" w:sz="0" w:space="0" w:color="auto"/>
        <w:right w:val="none" w:sz="0" w:space="0" w:color="auto"/>
      </w:divBdr>
    </w:div>
    <w:div w:id="1370184427">
      <w:bodyDiv w:val="1"/>
      <w:marLeft w:val="0"/>
      <w:marRight w:val="0"/>
      <w:marTop w:val="0"/>
      <w:marBottom w:val="0"/>
      <w:divBdr>
        <w:top w:val="none" w:sz="0" w:space="0" w:color="auto"/>
        <w:left w:val="none" w:sz="0" w:space="0" w:color="auto"/>
        <w:bottom w:val="none" w:sz="0" w:space="0" w:color="auto"/>
        <w:right w:val="none" w:sz="0" w:space="0" w:color="auto"/>
      </w:divBdr>
    </w:div>
    <w:div w:id="1375498498">
      <w:bodyDiv w:val="1"/>
      <w:marLeft w:val="0"/>
      <w:marRight w:val="0"/>
      <w:marTop w:val="0"/>
      <w:marBottom w:val="0"/>
      <w:divBdr>
        <w:top w:val="none" w:sz="0" w:space="0" w:color="auto"/>
        <w:left w:val="none" w:sz="0" w:space="0" w:color="auto"/>
        <w:bottom w:val="none" w:sz="0" w:space="0" w:color="auto"/>
        <w:right w:val="none" w:sz="0" w:space="0" w:color="auto"/>
      </w:divBdr>
    </w:div>
    <w:div w:id="1379665538">
      <w:bodyDiv w:val="1"/>
      <w:marLeft w:val="0"/>
      <w:marRight w:val="0"/>
      <w:marTop w:val="0"/>
      <w:marBottom w:val="0"/>
      <w:divBdr>
        <w:top w:val="none" w:sz="0" w:space="0" w:color="auto"/>
        <w:left w:val="none" w:sz="0" w:space="0" w:color="auto"/>
        <w:bottom w:val="none" w:sz="0" w:space="0" w:color="auto"/>
        <w:right w:val="none" w:sz="0" w:space="0" w:color="auto"/>
      </w:divBdr>
    </w:div>
    <w:div w:id="1380133334">
      <w:bodyDiv w:val="1"/>
      <w:marLeft w:val="0"/>
      <w:marRight w:val="0"/>
      <w:marTop w:val="0"/>
      <w:marBottom w:val="0"/>
      <w:divBdr>
        <w:top w:val="none" w:sz="0" w:space="0" w:color="auto"/>
        <w:left w:val="none" w:sz="0" w:space="0" w:color="auto"/>
        <w:bottom w:val="none" w:sz="0" w:space="0" w:color="auto"/>
        <w:right w:val="none" w:sz="0" w:space="0" w:color="auto"/>
      </w:divBdr>
    </w:div>
    <w:div w:id="1382751009">
      <w:bodyDiv w:val="1"/>
      <w:marLeft w:val="0"/>
      <w:marRight w:val="0"/>
      <w:marTop w:val="0"/>
      <w:marBottom w:val="0"/>
      <w:divBdr>
        <w:top w:val="none" w:sz="0" w:space="0" w:color="auto"/>
        <w:left w:val="none" w:sz="0" w:space="0" w:color="auto"/>
        <w:bottom w:val="none" w:sz="0" w:space="0" w:color="auto"/>
        <w:right w:val="none" w:sz="0" w:space="0" w:color="auto"/>
      </w:divBdr>
    </w:div>
    <w:div w:id="1401706472">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1393745">
      <w:bodyDiv w:val="1"/>
      <w:marLeft w:val="0"/>
      <w:marRight w:val="0"/>
      <w:marTop w:val="0"/>
      <w:marBottom w:val="0"/>
      <w:divBdr>
        <w:top w:val="none" w:sz="0" w:space="0" w:color="auto"/>
        <w:left w:val="none" w:sz="0" w:space="0" w:color="auto"/>
        <w:bottom w:val="none" w:sz="0" w:space="0" w:color="auto"/>
        <w:right w:val="none" w:sz="0" w:space="0" w:color="auto"/>
      </w:divBdr>
    </w:div>
    <w:div w:id="1412508756">
      <w:bodyDiv w:val="1"/>
      <w:marLeft w:val="0"/>
      <w:marRight w:val="0"/>
      <w:marTop w:val="0"/>
      <w:marBottom w:val="0"/>
      <w:divBdr>
        <w:top w:val="none" w:sz="0" w:space="0" w:color="auto"/>
        <w:left w:val="none" w:sz="0" w:space="0" w:color="auto"/>
        <w:bottom w:val="none" w:sz="0" w:space="0" w:color="auto"/>
        <w:right w:val="none" w:sz="0" w:space="0" w:color="auto"/>
      </w:divBdr>
    </w:div>
    <w:div w:id="1413627986">
      <w:bodyDiv w:val="1"/>
      <w:marLeft w:val="0"/>
      <w:marRight w:val="0"/>
      <w:marTop w:val="0"/>
      <w:marBottom w:val="0"/>
      <w:divBdr>
        <w:top w:val="none" w:sz="0" w:space="0" w:color="auto"/>
        <w:left w:val="none" w:sz="0" w:space="0" w:color="auto"/>
        <w:bottom w:val="none" w:sz="0" w:space="0" w:color="auto"/>
        <w:right w:val="none" w:sz="0" w:space="0" w:color="auto"/>
      </w:divBdr>
    </w:div>
    <w:div w:id="1415930471">
      <w:bodyDiv w:val="1"/>
      <w:marLeft w:val="0"/>
      <w:marRight w:val="0"/>
      <w:marTop w:val="0"/>
      <w:marBottom w:val="0"/>
      <w:divBdr>
        <w:top w:val="none" w:sz="0" w:space="0" w:color="auto"/>
        <w:left w:val="none" w:sz="0" w:space="0" w:color="auto"/>
        <w:bottom w:val="none" w:sz="0" w:space="0" w:color="auto"/>
        <w:right w:val="none" w:sz="0" w:space="0" w:color="auto"/>
      </w:divBdr>
    </w:div>
    <w:div w:id="1417899081">
      <w:bodyDiv w:val="1"/>
      <w:marLeft w:val="0"/>
      <w:marRight w:val="0"/>
      <w:marTop w:val="0"/>
      <w:marBottom w:val="0"/>
      <w:divBdr>
        <w:top w:val="none" w:sz="0" w:space="0" w:color="auto"/>
        <w:left w:val="none" w:sz="0" w:space="0" w:color="auto"/>
        <w:bottom w:val="none" w:sz="0" w:space="0" w:color="auto"/>
        <w:right w:val="none" w:sz="0" w:space="0" w:color="auto"/>
      </w:divBdr>
    </w:div>
    <w:div w:id="1420177230">
      <w:bodyDiv w:val="1"/>
      <w:marLeft w:val="0"/>
      <w:marRight w:val="0"/>
      <w:marTop w:val="0"/>
      <w:marBottom w:val="0"/>
      <w:divBdr>
        <w:top w:val="none" w:sz="0" w:space="0" w:color="auto"/>
        <w:left w:val="none" w:sz="0" w:space="0" w:color="auto"/>
        <w:bottom w:val="none" w:sz="0" w:space="0" w:color="auto"/>
        <w:right w:val="none" w:sz="0" w:space="0" w:color="auto"/>
      </w:divBdr>
    </w:div>
    <w:div w:id="1420903405">
      <w:bodyDiv w:val="1"/>
      <w:marLeft w:val="0"/>
      <w:marRight w:val="0"/>
      <w:marTop w:val="0"/>
      <w:marBottom w:val="0"/>
      <w:divBdr>
        <w:top w:val="none" w:sz="0" w:space="0" w:color="auto"/>
        <w:left w:val="none" w:sz="0" w:space="0" w:color="auto"/>
        <w:bottom w:val="none" w:sz="0" w:space="0" w:color="auto"/>
        <w:right w:val="none" w:sz="0" w:space="0" w:color="auto"/>
      </w:divBdr>
    </w:div>
    <w:div w:id="1422026357">
      <w:bodyDiv w:val="1"/>
      <w:marLeft w:val="0"/>
      <w:marRight w:val="0"/>
      <w:marTop w:val="0"/>
      <w:marBottom w:val="0"/>
      <w:divBdr>
        <w:top w:val="none" w:sz="0" w:space="0" w:color="auto"/>
        <w:left w:val="none" w:sz="0" w:space="0" w:color="auto"/>
        <w:bottom w:val="none" w:sz="0" w:space="0" w:color="auto"/>
        <w:right w:val="none" w:sz="0" w:space="0" w:color="auto"/>
      </w:divBdr>
    </w:div>
    <w:div w:id="1422602947">
      <w:bodyDiv w:val="1"/>
      <w:marLeft w:val="0"/>
      <w:marRight w:val="0"/>
      <w:marTop w:val="0"/>
      <w:marBottom w:val="0"/>
      <w:divBdr>
        <w:top w:val="none" w:sz="0" w:space="0" w:color="auto"/>
        <w:left w:val="none" w:sz="0" w:space="0" w:color="auto"/>
        <w:bottom w:val="none" w:sz="0" w:space="0" w:color="auto"/>
        <w:right w:val="none" w:sz="0" w:space="0" w:color="auto"/>
      </w:divBdr>
    </w:div>
    <w:div w:id="1429622952">
      <w:bodyDiv w:val="1"/>
      <w:marLeft w:val="0"/>
      <w:marRight w:val="0"/>
      <w:marTop w:val="0"/>
      <w:marBottom w:val="0"/>
      <w:divBdr>
        <w:top w:val="none" w:sz="0" w:space="0" w:color="auto"/>
        <w:left w:val="none" w:sz="0" w:space="0" w:color="auto"/>
        <w:bottom w:val="none" w:sz="0" w:space="0" w:color="auto"/>
        <w:right w:val="none" w:sz="0" w:space="0" w:color="auto"/>
      </w:divBdr>
    </w:div>
    <w:div w:id="1430928391">
      <w:bodyDiv w:val="1"/>
      <w:marLeft w:val="0"/>
      <w:marRight w:val="0"/>
      <w:marTop w:val="0"/>
      <w:marBottom w:val="0"/>
      <w:divBdr>
        <w:top w:val="none" w:sz="0" w:space="0" w:color="auto"/>
        <w:left w:val="none" w:sz="0" w:space="0" w:color="auto"/>
        <w:bottom w:val="none" w:sz="0" w:space="0" w:color="auto"/>
        <w:right w:val="none" w:sz="0" w:space="0" w:color="auto"/>
      </w:divBdr>
    </w:div>
    <w:div w:id="1432818515">
      <w:bodyDiv w:val="1"/>
      <w:marLeft w:val="0"/>
      <w:marRight w:val="0"/>
      <w:marTop w:val="0"/>
      <w:marBottom w:val="0"/>
      <w:divBdr>
        <w:top w:val="none" w:sz="0" w:space="0" w:color="auto"/>
        <w:left w:val="none" w:sz="0" w:space="0" w:color="auto"/>
        <w:bottom w:val="none" w:sz="0" w:space="0" w:color="auto"/>
        <w:right w:val="none" w:sz="0" w:space="0" w:color="auto"/>
      </w:divBdr>
    </w:div>
    <w:div w:id="1433283157">
      <w:bodyDiv w:val="1"/>
      <w:marLeft w:val="0"/>
      <w:marRight w:val="0"/>
      <w:marTop w:val="0"/>
      <w:marBottom w:val="0"/>
      <w:divBdr>
        <w:top w:val="none" w:sz="0" w:space="0" w:color="auto"/>
        <w:left w:val="none" w:sz="0" w:space="0" w:color="auto"/>
        <w:bottom w:val="none" w:sz="0" w:space="0" w:color="auto"/>
        <w:right w:val="none" w:sz="0" w:space="0" w:color="auto"/>
      </w:divBdr>
    </w:div>
    <w:div w:id="1436287133">
      <w:bodyDiv w:val="1"/>
      <w:marLeft w:val="0"/>
      <w:marRight w:val="0"/>
      <w:marTop w:val="0"/>
      <w:marBottom w:val="0"/>
      <w:divBdr>
        <w:top w:val="none" w:sz="0" w:space="0" w:color="auto"/>
        <w:left w:val="none" w:sz="0" w:space="0" w:color="auto"/>
        <w:bottom w:val="none" w:sz="0" w:space="0" w:color="auto"/>
        <w:right w:val="none" w:sz="0" w:space="0" w:color="auto"/>
      </w:divBdr>
    </w:div>
    <w:div w:id="1436945665">
      <w:bodyDiv w:val="1"/>
      <w:marLeft w:val="0"/>
      <w:marRight w:val="0"/>
      <w:marTop w:val="0"/>
      <w:marBottom w:val="0"/>
      <w:divBdr>
        <w:top w:val="none" w:sz="0" w:space="0" w:color="auto"/>
        <w:left w:val="none" w:sz="0" w:space="0" w:color="auto"/>
        <w:bottom w:val="none" w:sz="0" w:space="0" w:color="auto"/>
        <w:right w:val="none" w:sz="0" w:space="0" w:color="auto"/>
      </w:divBdr>
    </w:div>
    <w:div w:id="1438911505">
      <w:bodyDiv w:val="1"/>
      <w:marLeft w:val="0"/>
      <w:marRight w:val="0"/>
      <w:marTop w:val="0"/>
      <w:marBottom w:val="0"/>
      <w:divBdr>
        <w:top w:val="none" w:sz="0" w:space="0" w:color="auto"/>
        <w:left w:val="none" w:sz="0" w:space="0" w:color="auto"/>
        <w:bottom w:val="none" w:sz="0" w:space="0" w:color="auto"/>
        <w:right w:val="none" w:sz="0" w:space="0" w:color="auto"/>
      </w:divBdr>
    </w:div>
    <w:div w:id="1449278434">
      <w:bodyDiv w:val="1"/>
      <w:marLeft w:val="0"/>
      <w:marRight w:val="0"/>
      <w:marTop w:val="0"/>
      <w:marBottom w:val="0"/>
      <w:divBdr>
        <w:top w:val="none" w:sz="0" w:space="0" w:color="auto"/>
        <w:left w:val="none" w:sz="0" w:space="0" w:color="auto"/>
        <w:bottom w:val="none" w:sz="0" w:space="0" w:color="auto"/>
        <w:right w:val="none" w:sz="0" w:space="0" w:color="auto"/>
      </w:divBdr>
    </w:div>
    <w:div w:id="1467628272">
      <w:bodyDiv w:val="1"/>
      <w:marLeft w:val="0"/>
      <w:marRight w:val="0"/>
      <w:marTop w:val="0"/>
      <w:marBottom w:val="0"/>
      <w:divBdr>
        <w:top w:val="none" w:sz="0" w:space="0" w:color="auto"/>
        <w:left w:val="none" w:sz="0" w:space="0" w:color="auto"/>
        <w:bottom w:val="none" w:sz="0" w:space="0" w:color="auto"/>
        <w:right w:val="none" w:sz="0" w:space="0" w:color="auto"/>
      </w:divBdr>
    </w:div>
    <w:div w:id="1467817086">
      <w:bodyDiv w:val="1"/>
      <w:marLeft w:val="0"/>
      <w:marRight w:val="0"/>
      <w:marTop w:val="0"/>
      <w:marBottom w:val="0"/>
      <w:divBdr>
        <w:top w:val="none" w:sz="0" w:space="0" w:color="auto"/>
        <w:left w:val="none" w:sz="0" w:space="0" w:color="auto"/>
        <w:bottom w:val="none" w:sz="0" w:space="0" w:color="auto"/>
        <w:right w:val="none" w:sz="0" w:space="0" w:color="auto"/>
      </w:divBdr>
    </w:div>
    <w:div w:id="1470825962">
      <w:bodyDiv w:val="1"/>
      <w:marLeft w:val="0"/>
      <w:marRight w:val="0"/>
      <w:marTop w:val="0"/>
      <w:marBottom w:val="0"/>
      <w:divBdr>
        <w:top w:val="none" w:sz="0" w:space="0" w:color="auto"/>
        <w:left w:val="none" w:sz="0" w:space="0" w:color="auto"/>
        <w:bottom w:val="none" w:sz="0" w:space="0" w:color="auto"/>
        <w:right w:val="none" w:sz="0" w:space="0" w:color="auto"/>
      </w:divBdr>
    </w:div>
    <w:div w:id="1476485843">
      <w:bodyDiv w:val="1"/>
      <w:marLeft w:val="0"/>
      <w:marRight w:val="0"/>
      <w:marTop w:val="0"/>
      <w:marBottom w:val="0"/>
      <w:divBdr>
        <w:top w:val="none" w:sz="0" w:space="0" w:color="auto"/>
        <w:left w:val="none" w:sz="0" w:space="0" w:color="auto"/>
        <w:bottom w:val="none" w:sz="0" w:space="0" w:color="auto"/>
        <w:right w:val="none" w:sz="0" w:space="0" w:color="auto"/>
      </w:divBdr>
    </w:div>
    <w:div w:id="1476531699">
      <w:bodyDiv w:val="1"/>
      <w:marLeft w:val="0"/>
      <w:marRight w:val="0"/>
      <w:marTop w:val="0"/>
      <w:marBottom w:val="0"/>
      <w:divBdr>
        <w:top w:val="none" w:sz="0" w:space="0" w:color="auto"/>
        <w:left w:val="none" w:sz="0" w:space="0" w:color="auto"/>
        <w:bottom w:val="none" w:sz="0" w:space="0" w:color="auto"/>
        <w:right w:val="none" w:sz="0" w:space="0" w:color="auto"/>
      </w:divBdr>
    </w:div>
    <w:div w:id="1478766774">
      <w:bodyDiv w:val="1"/>
      <w:marLeft w:val="0"/>
      <w:marRight w:val="0"/>
      <w:marTop w:val="0"/>
      <w:marBottom w:val="0"/>
      <w:divBdr>
        <w:top w:val="none" w:sz="0" w:space="0" w:color="auto"/>
        <w:left w:val="none" w:sz="0" w:space="0" w:color="auto"/>
        <w:bottom w:val="none" w:sz="0" w:space="0" w:color="auto"/>
        <w:right w:val="none" w:sz="0" w:space="0" w:color="auto"/>
      </w:divBdr>
    </w:div>
    <w:div w:id="1483473264">
      <w:bodyDiv w:val="1"/>
      <w:marLeft w:val="0"/>
      <w:marRight w:val="0"/>
      <w:marTop w:val="0"/>
      <w:marBottom w:val="0"/>
      <w:divBdr>
        <w:top w:val="none" w:sz="0" w:space="0" w:color="auto"/>
        <w:left w:val="none" w:sz="0" w:space="0" w:color="auto"/>
        <w:bottom w:val="none" w:sz="0" w:space="0" w:color="auto"/>
        <w:right w:val="none" w:sz="0" w:space="0" w:color="auto"/>
      </w:divBdr>
    </w:div>
    <w:div w:id="1484422590">
      <w:bodyDiv w:val="1"/>
      <w:marLeft w:val="0"/>
      <w:marRight w:val="0"/>
      <w:marTop w:val="0"/>
      <w:marBottom w:val="0"/>
      <w:divBdr>
        <w:top w:val="none" w:sz="0" w:space="0" w:color="auto"/>
        <w:left w:val="none" w:sz="0" w:space="0" w:color="auto"/>
        <w:bottom w:val="none" w:sz="0" w:space="0" w:color="auto"/>
        <w:right w:val="none" w:sz="0" w:space="0" w:color="auto"/>
      </w:divBdr>
    </w:div>
    <w:div w:id="1486169543">
      <w:bodyDiv w:val="1"/>
      <w:marLeft w:val="0"/>
      <w:marRight w:val="0"/>
      <w:marTop w:val="0"/>
      <w:marBottom w:val="0"/>
      <w:divBdr>
        <w:top w:val="none" w:sz="0" w:space="0" w:color="auto"/>
        <w:left w:val="none" w:sz="0" w:space="0" w:color="auto"/>
        <w:bottom w:val="none" w:sz="0" w:space="0" w:color="auto"/>
        <w:right w:val="none" w:sz="0" w:space="0" w:color="auto"/>
      </w:divBdr>
    </w:div>
    <w:div w:id="1488546215">
      <w:bodyDiv w:val="1"/>
      <w:marLeft w:val="0"/>
      <w:marRight w:val="0"/>
      <w:marTop w:val="0"/>
      <w:marBottom w:val="0"/>
      <w:divBdr>
        <w:top w:val="none" w:sz="0" w:space="0" w:color="auto"/>
        <w:left w:val="none" w:sz="0" w:space="0" w:color="auto"/>
        <w:bottom w:val="none" w:sz="0" w:space="0" w:color="auto"/>
        <w:right w:val="none" w:sz="0" w:space="0" w:color="auto"/>
      </w:divBdr>
    </w:div>
    <w:div w:id="1488862974">
      <w:bodyDiv w:val="1"/>
      <w:marLeft w:val="0"/>
      <w:marRight w:val="0"/>
      <w:marTop w:val="0"/>
      <w:marBottom w:val="0"/>
      <w:divBdr>
        <w:top w:val="none" w:sz="0" w:space="0" w:color="auto"/>
        <w:left w:val="none" w:sz="0" w:space="0" w:color="auto"/>
        <w:bottom w:val="none" w:sz="0" w:space="0" w:color="auto"/>
        <w:right w:val="none" w:sz="0" w:space="0" w:color="auto"/>
      </w:divBdr>
    </w:div>
    <w:div w:id="1489125781">
      <w:bodyDiv w:val="1"/>
      <w:marLeft w:val="0"/>
      <w:marRight w:val="0"/>
      <w:marTop w:val="0"/>
      <w:marBottom w:val="0"/>
      <w:divBdr>
        <w:top w:val="none" w:sz="0" w:space="0" w:color="auto"/>
        <w:left w:val="none" w:sz="0" w:space="0" w:color="auto"/>
        <w:bottom w:val="none" w:sz="0" w:space="0" w:color="auto"/>
        <w:right w:val="none" w:sz="0" w:space="0" w:color="auto"/>
      </w:divBdr>
    </w:div>
    <w:div w:id="1491822442">
      <w:bodyDiv w:val="1"/>
      <w:marLeft w:val="0"/>
      <w:marRight w:val="0"/>
      <w:marTop w:val="0"/>
      <w:marBottom w:val="0"/>
      <w:divBdr>
        <w:top w:val="none" w:sz="0" w:space="0" w:color="auto"/>
        <w:left w:val="none" w:sz="0" w:space="0" w:color="auto"/>
        <w:bottom w:val="none" w:sz="0" w:space="0" w:color="auto"/>
        <w:right w:val="none" w:sz="0" w:space="0" w:color="auto"/>
      </w:divBdr>
    </w:div>
    <w:div w:id="1496140131">
      <w:bodyDiv w:val="1"/>
      <w:marLeft w:val="0"/>
      <w:marRight w:val="0"/>
      <w:marTop w:val="0"/>
      <w:marBottom w:val="0"/>
      <w:divBdr>
        <w:top w:val="none" w:sz="0" w:space="0" w:color="auto"/>
        <w:left w:val="none" w:sz="0" w:space="0" w:color="auto"/>
        <w:bottom w:val="none" w:sz="0" w:space="0" w:color="auto"/>
        <w:right w:val="none" w:sz="0" w:space="0" w:color="auto"/>
      </w:divBdr>
    </w:div>
    <w:div w:id="1497770696">
      <w:bodyDiv w:val="1"/>
      <w:marLeft w:val="0"/>
      <w:marRight w:val="0"/>
      <w:marTop w:val="0"/>
      <w:marBottom w:val="0"/>
      <w:divBdr>
        <w:top w:val="none" w:sz="0" w:space="0" w:color="auto"/>
        <w:left w:val="none" w:sz="0" w:space="0" w:color="auto"/>
        <w:bottom w:val="none" w:sz="0" w:space="0" w:color="auto"/>
        <w:right w:val="none" w:sz="0" w:space="0" w:color="auto"/>
      </w:divBdr>
    </w:div>
    <w:div w:id="1502699347">
      <w:bodyDiv w:val="1"/>
      <w:marLeft w:val="0"/>
      <w:marRight w:val="0"/>
      <w:marTop w:val="0"/>
      <w:marBottom w:val="0"/>
      <w:divBdr>
        <w:top w:val="none" w:sz="0" w:space="0" w:color="auto"/>
        <w:left w:val="none" w:sz="0" w:space="0" w:color="auto"/>
        <w:bottom w:val="none" w:sz="0" w:space="0" w:color="auto"/>
        <w:right w:val="none" w:sz="0" w:space="0" w:color="auto"/>
      </w:divBdr>
    </w:div>
    <w:div w:id="1505315518">
      <w:bodyDiv w:val="1"/>
      <w:marLeft w:val="0"/>
      <w:marRight w:val="0"/>
      <w:marTop w:val="0"/>
      <w:marBottom w:val="0"/>
      <w:divBdr>
        <w:top w:val="none" w:sz="0" w:space="0" w:color="auto"/>
        <w:left w:val="none" w:sz="0" w:space="0" w:color="auto"/>
        <w:bottom w:val="none" w:sz="0" w:space="0" w:color="auto"/>
        <w:right w:val="none" w:sz="0" w:space="0" w:color="auto"/>
      </w:divBdr>
    </w:div>
    <w:div w:id="1505903015">
      <w:bodyDiv w:val="1"/>
      <w:marLeft w:val="0"/>
      <w:marRight w:val="0"/>
      <w:marTop w:val="0"/>
      <w:marBottom w:val="0"/>
      <w:divBdr>
        <w:top w:val="none" w:sz="0" w:space="0" w:color="auto"/>
        <w:left w:val="none" w:sz="0" w:space="0" w:color="auto"/>
        <w:bottom w:val="none" w:sz="0" w:space="0" w:color="auto"/>
        <w:right w:val="none" w:sz="0" w:space="0" w:color="auto"/>
      </w:divBdr>
    </w:div>
    <w:div w:id="1508014244">
      <w:bodyDiv w:val="1"/>
      <w:marLeft w:val="0"/>
      <w:marRight w:val="0"/>
      <w:marTop w:val="0"/>
      <w:marBottom w:val="0"/>
      <w:divBdr>
        <w:top w:val="none" w:sz="0" w:space="0" w:color="auto"/>
        <w:left w:val="none" w:sz="0" w:space="0" w:color="auto"/>
        <w:bottom w:val="none" w:sz="0" w:space="0" w:color="auto"/>
        <w:right w:val="none" w:sz="0" w:space="0" w:color="auto"/>
      </w:divBdr>
    </w:div>
    <w:div w:id="1508982363">
      <w:bodyDiv w:val="1"/>
      <w:marLeft w:val="0"/>
      <w:marRight w:val="0"/>
      <w:marTop w:val="0"/>
      <w:marBottom w:val="0"/>
      <w:divBdr>
        <w:top w:val="none" w:sz="0" w:space="0" w:color="auto"/>
        <w:left w:val="none" w:sz="0" w:space="0" w:color="auto"/>
        <w:bottom w:val="none" w:sz="0" w:space="0" w:color="auto"/>
        <w:right w:val="none" w:sz="0" w:space="0" w:color="auto"/>
      </w:divBdr>
    </w:div>
    <w:div w:id="1513688478">
      <w:bodyDiv w:val="1"/>
      <w:marLeft w:val="0"/>
      <w:marRight w:val="0"/>
      <w:marTop w:val="0"/>
      <w:marBottom w:val="0"/>
      <w:divBdr>
        <w:top w:val="none" w:sz="0" w:space="0" w:color="auto"/>
        <w:left w:val="none" w:sz="0" w:space="0" w:color="auto"/>
        <w:bottom w:val="none" w:sz="0" w:space="0" w:color="auto"/>
        <w:right w:val="none" w:sz="0" w:space="0" w:color="auto"/>
      </w:divBdr>
    </w:div>
    <w:div w:id="1520315731">
      <w:bodyDiv w:val="1"/>
      <w:marLeft w:val="0"/>
      <w:marRight w:val="0"/>
      <w:marTop w:val="0"/>
      <w:marBottom w:val="0"/>
      <w:divBdr>
        <w:top w:val="none" w:sz="0" w:space="0" w:color="auto"/>
        <w:left w:val="none" w:sz="0" w:space="0" w:color="auto"/>
        <w:bottom w:val="none" w:sz="0" w:space="0" w:color="auto"/>
        <w:right w:val="none" w:sz="0" w:space="0" w:color="auto"/>
      </w:divBdr>
    </w:div>
    <w:div w:id="1521702298">
      <w:bodyDiv w:val="1"/>
      <w:marLeft w:val="0"/>
      <w:marRight w:val="0"/>
      <w:marTop w:val="0"/>
      <w:marBottom w:val="0"/>
      <w:divBdr>
        <w:top w:val="none" w:sz="0" w:space="0" w:color="auto"/>
        <w:left w:val="none" w:sz="0" w:space="0" w:color="auto"/>
        <w:bottom w:val="none" w:sz="0" w:space="0" w:color="auto"/>
        <w:right w:val="none" w:sz="0" w:space="0" w:color="auto"/>
      </w:divBdr>
    </w:div>
    <w:div w:id="1522469801">
      <w:bodyDiv w:val="1"/>
      <w:marLeft w:val="0"/>
      <w:marRight w:val="0"/>
      <w:marTop w:val="0"/>
      <w:marBottom w:val="0"/>
      <w:divBdr>
        <w:top w:val="none" w:sz="0" w:space="0" w:color="auto"/>
        <w:left w:val="none" w:sz="0" w:space="0" w:color="auto"/>
        <w:bottom w:val="none" w:sz="0" w:space="0" w:color="auto"/>
        <w:right w:val="none" w:sz="0" w:space="0" w:color="auto"/>
      </w:divBdr>
    </w:div>
    <w:div w:id="1522864673">
      <w:bodyDiv w:val="1"/>
      <w:marLeft w:val="0"/>
      <w:marRight w:val="0"/>
      <w:marTop w:val="0"/>
      <w:marBottom w:val="0"/>
      <w:divBdr>
        <w:top w:val="none" w:sz="0" w:space="0" w:color="auto"/>
        <w:left w:val="none" w:sz="0" w:space="0" w:color="auto"/>
        <w:bottom w:val="none" w:sz="0" w:space="0" w:color="auto"/>
        <w:right w:val="none" w:sz="0" w:space="0" w:color="auto"/>
      </w:divBdr>
    </w:div>
    <w:div w:id="1523472199">
      <w:bodyDiv w:val="1"/>
      <w:marLeft w:val="0"/>
      <w:marRight w:val="0"/>
      <w:marTop w:val="0"/>
      <w:marBottom w:val="0"/>
      <w:divBdr>
        <w:top w:val="none" w:sz="0" w:space="0" w:color="auto"/>
        <w:left w:val="none" w:sz="0" w:space="0" w:color="auto"/>
        <w:bottom w:val="none" w:sz="0" w:space="0" w:color="auto"/>
        <w:right w:val="none" w:sz="0" w:space="0" w:color="auto"/>
      </w:divBdr>
    </w:div>
    <w:div w:id="1523855783">
      <w:bodyDiv w:val="1"/>
      <w:marLeft w:val="0"/>
      <w:marRight w:val="0"/>
      <w:marTop w:val="0"/>
      <w:marBottom w:val="0"/>
      <w:divBdr>
        <w:top w:val="none" w:sz="0" w:space="0" w:color="auto"/>
        <w:left w:val="none" w:sz="0" w:space="0" w:color="auto"/>
        <w:bottom w:val="none" w:sz="0" w:space="0" w:color="auto"/>
        <w:right w:val="none" w:sz="0" w:space="0" w:color="auto"/>
      </w:divBdr>
    </w:div>
    <w:div w:id="1526408125">
      <w:bodyDiv w:val="1"/>
      <w:marLeft w:val="0"/>
      <w:marRight w:val="0"/>
      <w:marTop w:val="0"/>
      <w:marBottom w:val="0"/>
      <w:divBdr>
        <w:top w:val="none" w:sz="0" w:space="0" w:color="auto"/>
        <w:left w:val="none" w:sz="0" w:space="0" w:color="auto"/>
        <w:bottom w:val="none" w:sz="0" w:space="0" w:color="auto"/>
        <w:right w:val="none" w:sz="0" w:space="0" w:color="auto"/>
      </w:divBdr>
    </w:div>
    <w:div w:id="1534072367">
      <w:bodyDiv w:val="1"/>
      <w:marLeft w:val="0"/>
      <w:marRight w:val="0"/>
      <w:marTop w:val="0"/>
      <w:marBottom w:val="0"/>
      <w:divBdr>
        <w:top w:val="none" w:sz="0" w:space="0" w:color="auto"/>
        <w:left w:val="none" w:sz="0" w:space="0" w:color="auto"/>
        <w:bottom w:val="none" w:sz="0" w:space="0" w:color="auto"/>
        <w:right w:val="none" w:sz="0" w:space="0" w:color="auto"/>
      </w:divBdr>
    </w:div>
    <w:div w:id="1546218445">
      <w:bodyDiv w:val="1"/>
      <w:marLeft w:val="0"/>
      <w:marRight w:val="0"/>
      <w:marTop w:val="0"/>
      <w:marBottom w:val="0"/>
      <w:divBdr>
        <w:top w:val="none" w:sz="0" w:space="0" w:color="auto"/>
        <w:left w:val="none" w:sz="0" w:space="0" w:color="auto"/>
        <w:bottom w:val="none" w:sz="0" w:space="0" w:color="auto"/>
        <w:right w:val="none" w:sz="0" w:space="0" w:color="auto"/>
      </w:divBdr>
    </w:div>
    <w:div w:id="1547140309">
      <w:bodyDiv w:val="1"/>
      <w:marLeft w:val="0"/>
      <w:marRight w:val="0"/>
      <w:marTop w:val="0"/>
      <w:marBottom w:val="0"/>
      <w:divBdr>
        <w:top w:val="none" w:sz="0" w:space="0" w:color="auto"/>
        <w:left w:val="none" w:sz="0" w:space="0" w:color="auto"/>
        <w:bottom w:val="none" w:sz="0" w:space="0" w:color="auto"/>
        <w:right w:val="none" w:sz="0" w:space="0" w:color="auto"/>
      </w:divBdr>
    </w:div>
    <w:div w:id="1551529207">
      <w:bodyDiv w:val="1"/>
      <w:marLeft w:val="0"/>
      <w:marRight w:val="0"/>
      <w:marTop w:val="0"/>
      <w:marBottom w:val="0"/>
      <w:divBdr>
        <w:top w:val="none" w:sz="0" w:space="0" w:color="auto"/>
        <w:left w:val="none" w:sz="0" w:space="0" w:color="auto"/>
        <w:bottom w:val="none" w:sz="0" w:space="0" w:color="auto"/>
        <w:right w:val="none" w:sz="0" w:space="0" w:color="auto"/>
      </w:divBdr>
    </w:div>
    <w:div w:id="1554778650">
      <w:bodyDiv w:val="1"/>
      <w:marLeft w:val="0"/>
      <w:marRight w:val="0"/>
      <w:marTop w:val="0"/>
      <w:marBottom w:val="0"/>
      <w:divBdr>
        <w:top w:val="none" w:sz="0" w:space="0" w:color="auto"/>
        <w:left w:val="none" w:sz="0" w:space="0" w:color="auto"/>
        <w:bottom w:val="none" w:sz="0" w:space="0" w:color="auto"/>
        <w:right w:val="none" w:sz="0" w:space="0" w:color="auto"/>
      </w:divBdr>
    </w:div>
    <w:div w:id="1554846266">
      <w:bodyDiv w:val="1"/>
      <w:marLeft w:val="0"/>
      <w:marRight w:val="0"/>
      <w:marTop w:val="0"/>
      <w:marBottom w:val="0"/>
      <w:divBdr>
        <w:top w:val="none" w:sz="0" w:space="0" w:color="auto"/>
        <w:left w:val="none" w:sz="0" w:space="0" w:color="auto"/>
        <w:bottom w:val="none" w:sz="0" w:space="0" w:color="auto"/>
        <w:right w:val="none" w:sz="0" w:space="0" w:color="auto"/>
      </w:divBdr>
    </w:div>
    <w:div w:id="1569614186">
      <w:bodyDiv w:val="1"/>
      <w:marLeft w:val="0"/>
      <w:marRight w:val="0"/>
      <w:marTop w:val="0"/>
      <w:marBottom w:val="0"/>
      <w:divBdr>
        <w:top w:val="none" w:sz="0" w:space="0" w:color="auto"/>
        <w:left w:val="none" w:sz="0" w:space="0" w:color="auto"/>
        <w:bottom w:val="none" w:sz="0" w:space="0" w:color="auto"/>
        <w:right w:val="none" w:sz="0" w:space="0" w:color="auto"/>
      </w:divBdr>
    </w:div>
    <w:div w:id="1569803586">
      <w:bodyDiv w:val="1"/>
      <w:marLeft w:val="0"/>
      <w:marRight w:val="0"/>
      <w:marTop w:val="0"/>
      <w:marBottom w:val="0"/>
      <w:divBdr>
        <w:top w:val="none" w:sz="0" w:space="0" w:color="auto"/>
        <w:left w:val="none" w:sz="0" w:space="0" w:color="auto"/>
        <w:bottom w:val="none" w:sz="0" w:space="0" w:color="auto"/>
        <w:right w:val="none" w:sz="0" w:space="0" w:color="auto"/>
      </w:divBdr>
    </w:div>
    <w:div w:id="1570849671">
      <w:bodyDiv w:val="1"/>
      <w:marLeft w:val="0"/>
      <w:marRight w:val="0"/>
      <w:marTop w:val="0"/>
      <w:marBottom w:val="0"/>
      <w:divBdr>
        <w:top w:val="none" w:sz="0" w:space="0" w:color="auto"/>
        <w:left w:val="none" w:sz="0" w:space="0" w:color="auto"/>
        <w:bottom w:val="none" w:sz="0" w:space="0" w:color="auto"/>
        <w:right w:val="none" w:sz="0" w:space="0" w:color="auto"/>
      </w:divBdr>
    </w:div>
    <w:div w:id="1574505509">
      <w:bodyDiv w:val="1"/>
      <w:marLeft w:val="0"/>
      <w:marRight w:val="0"/>
      <w:marTop w:val="0"/>
      <w:marBottom w:val="0"/>
      <w:divBdr>
        <w:top w:val="none" w:sz="0" w:space="0" w:color="auto"/>
        <w:left w:val="none" w:sz="0" w:space="0" w:color="auto"/>
        <w:bottom w:val="none" w:sz="0" w:space="0" w:color="auto"/>
        <w:right w:val="none" w:sz="0" w:space="0" w:color="auto"/>
      </w:divBdr>
    </w:div>
    <w:div w:id="1575705891">
      <w:bodyDiv w:val="1"/>
      <w:marLeft w:val="0"/>
      <w:marRight w:val="0"/>
      <w:marTop w:val="0"/>
      <w:marBottom w:val="0"/>
      <w:divBdr>
        <w:top w:val="none" w:sz="0" w:space="0" w:color="auto"/>
        <w:left w:val="none" w:sz="0" w:space="0" w:color="auto"/>
        <w:bottom w:val="none" w:sz="0" w:space="0" w:color="auto"/>
        <w:right w:val="none" w:sz="0" w:space="0" w:color="auto"/>
      </w:divBdr>
    </w:div>
    <w:div w:id="1579024657">
      <w:bodyDiv w:val="1"/>
      <w:marLeft w:val="0"/>
      <w:marRight w:val="0"/>
      <w:marTop w:val="0"/>
      <w:marBottom w:val="0"/>
      <w:divBdr>
        <w:top w:val="none" w:sz="0" w:space="0" w:color="auto"/>
        <w:left w:val="none" w:sz="0" w:space="0" w:color="auto"/>
        <w:bottom w:val="none" w:sz="0" w:space="0" w:color="auto"/>
        <w:right w:val="none" w:sz="0" w:space="0" w:color="auto"/>
      </w:divBdr>
    </w:div>
    <w:div w:id="1580021944">
      <w:bodyDiv w:val="1"/>
      <w:marLeft w:val="0"/>
      <w:marRight w:val="0"/>
      <w:marTop w:val="0"/>
      <w:marBottom w:val="0"/>
      <w:divBdr>
        <w:top w:val="none" w:sz="0" w:space="0" w:color="auto"/>
        <w:left w:val="none" w:sz="0" w:space="0" w:color="auto"/>
        <w:bottom w:val="none" w:sz="0" w:space="0" w:color="auto"/>
        <w:right w:val="none" w:sz="0" w:space="0" w:color="auto"/>
      </w:divBdr>
    </w:div>
    <w:div w:id="1581787500">
      <w:bodyDiv w:val="1"/>
      <w:marLeft w:val="0"/>
      <w:marRight w:val="0"/>
      <w:marTop w:val="0"/>
      <w:marBottom w:val="0"/>
      <w:divBdr>
        <w:top w:val="none" w:sz="0" w:space="0" w:color="auto"/>
        <w:left w:val="none" w:sz="0" w:space="0" w:color="auto"/>
        <w:bottom w:val="none" w:sz="0" w:space="0" w:color="auto"/>
        <w:right w:val="none" w:sz="0" w:space="0" w:color="auto"/>
      </w:divBdr>
    </w:div>
    <w:div w:id="1588617677">
      <w:bodyDiv w:val="1"/>
      <w:marLeft w:val="0"/>
      <w:marRight w:val="0"/>
      <w:marTop w:val="0"/>
      <w:marBottom w:val="0"/>
      <w:divBdr>
        <w:top w:val="none" w:sz="0" w:space="0" w:color="auto"/>
        <w:left w:val="none" w:sz="0" w:space="0" w:color="auto"/>
        <w:bottom w:val="none" w:sz="0" w:space="0" w:color="auto"/>
        <w:right w:val="none" w:sz="0" w:space="0" w:color="auto"/>
      </w:divBdr>
    </w:div>
    <w:div w:id="1589466624">
      <w:bodyDiv w:val="1"/>
      <w:marLeft w:val="0"/>
      <w:marRight w:val="0"/>
      <w:marTop w:val="0"/>
      <w:marBottom w:val="0"/>
      <w:divBdr>
        <w:top w:val="none" w:sz="0" w:space="0" w:color="auto"/>
        <w:left w:val="none" w:sz="0" w:space="0" w:color="auto"/>
        <w:bottom w:val="none" w:sz="0" w:space="0" w:color="auto"/>
        <w:right w:val="none" w:sz="0" w:space="0" w:color="auto"/>
      </w:divBdr>
    </w:div>
    <w:div w:id="1592425705">
      <w:bodyDiv w:val="1"/>
      <w:marLeft w:val="0"/>
      <w:marRight w:val="0"/>
      <w:marTop w:val="0"/>
      <w:marBottom w:val="0"/>
      <w:divBdr>
        <w:top w:val="none" w:sz="0" w:space="0" w:color="auto"/>
        <w:left w:val="none" w:sz="0" w:space="0" w:color="auto"/>
        <w:bottom w:val="none" w:sz="0" w:space="0" w:color="auto"/>
        <w:right w:val="none" w:sz="0" w:space="0" w:color="auto"/>
      </w:divBdr>
    </w:div>
    <w:div w:id="1601257170">
      <w:bodyDiv w:val="1"/>
      <w:marLeft w:val="0"/>
      <w:marRight w:val="0"/>
      <w:marTop w:val="0"/>
      <w:marBottom w:val="0"/>
      <w:divBdr>
        <w:top w:val="none" w:sz="0" w:space="0" w:color="auto"/>
        <w:left w:val="none" w:sz="0" w:space="0" w:color="auto"/>
        <w:bottom w:val="none" w:sz="0" w:space="0" w:color="auto"/>
        <w:right w:val="none" w:sz="0" w:space="0" w:color="auto"/>
      </w:divBdr>
    </w:div>
    <w:div w:id="1603609546">
      <w:bodyDiv w:val="1"/>
      <w:marLeft w:val="0"/>
      <w:marRight w:val="0"/>
      <w:marTop w:val="0"/>
      <w:marBottom w:val="0"/>
      <w:divBdr>
        <w:top w:val="none" w:sz="0" w:space="0" w:color="auto"/>
        <w:left w:val="none" w:sz="0" w:space="0" w:color="auto"/>
        <w:bottom w:val="none" w:sz="0" w:space="0" w:color="auto"/>
        <w:right w:val="none" w:sz="0" w:space="0" w:color="auto"/>
      </w:divBdr>
    </w:div>
    <w:div w:id="1609462429">
      <w:bodyDiv w:val="1"/>
      <w:marLeft w:val="0"/>
      <w:marRight w:val="0"/>
      <w:marTop w:val="0"/>
      <w:marBottom w:val="0"/>
      <w:divBdr>
        <w:top w:val="none" w:sz="0" w:space="0" w:color="auto"/>
        <w:left w:val="none" w:sz="0" w:space="0" w:color="auto"/>
        <w:bottom w:val="none" w:sz="0" w:space="0" w:color="auto"/>
        <w:right w:val="none" w:sz="0" w:space="0" w:color="auto"/>
      </w:divBdr>
    </w:div>
    <w:div w:id="1625229404">
      <w:bodyDiv w:val="1"/>
      <w:marLeft w:val="0"/>
      <w:marRight w:val="0"/>
      <w:marTop w:val="0"/>
      <w:marBottom w:val="0"/>
      <w:divBdr>
        <w:top w:val="none" w:sz="0" w:space="0" w:color="auto"/>
        <w:left w:val="none" w:sz="0" w:space="0" w:color="auto"/>
        <w:bottom w:val="none" w:sz="0" w:space="0" w:color="auto"/>
        <w:right w:val="none" w:sz="0" w:space="0" w:color="auto"/>
      </w:divBdr>
    </w:div>
    <w:div w:id="1627855822">
      <w:bodyDiv w:val="1"/>
      <w:marLeft w:val="0"/>
      <w:marRight w:val="0"/>
      <w:marTop w:val="0"/>
      <w:marBottom w:val="0"/>
      <w:divBdr>
        <w:top w:val="none" w:sz="0" w:space="0" w:color="auto"/>
        <w:left w:val="none" w:sz="0" w:space="0" w:color="auto"/>
        <w:bottom w:val="none" w:sz="0" w:space="0" w:color="auto"/>
        <w:right w:val="none" w:sz="0" w:space="0" w:color="auto"/>
      </w:divBdr>
    </w:div>
    <w:div w:id="1636838145">
      <w:bodyDiv w:val="1"/>
      <w:marLeft w:val="0"/>
      <w:marRight w:val="0"/>
      <w:marTop w:val="0"/>
      <w:marBottom w:val="0"/>
      <w:divBdr>
        <w:top w:val="none" w:sz="0" w:space="0" w:color="auto"/>
        <w:left w:val="none" w:sz="0" w:space="0" w:color="auto"/>
        <w:bottom w:val="none" w:sz="0" w:space="0" w:color="auto"/>
        <w:right w:val="none" w:sz="0" w:space="0" w:color="auto"/>
      </w:divBdr>
    </w:div>
    <w:div w:id="1637566302">
      <w:bodyDiv w:val="1"/>
      <w:marLeft w:val="0"/>
      <w:marRight w:val="0"/>
      <w:marTop w:val="0"/>
      <w:marBottom w:val="0"/>
      <w:divBdr>
        <w:top w:val="none" w:sz="0" w:space="0" w:color="auto"/>
        <w:left w:val="none" w:sz="0" w:space="0" w:color="auto"/>
        <w:bottom w:val="none" w:sz="0" w:space="0" w:color="auto"/>
        <w:right w:val="none" w:sz="0" w:space="0" w:color="auto"/>
      </w:divBdr>
    </w:div>
    <w:div w:id="1640643435">
      <w:bodyDiv w:val="1"/>
      <w:marLeft w:val="0"/>
      <w:marRight w:val="0"/>
      <w:marTop w:val="0"/>
      <w:marBottom w:val="0"/>
      <w:divBdr>
        <w:top w:val="none" w:sz="0" w:space="0" w:color="auto"/>
        <w:left w:val="none" w:sz="0" w:space="0" w:color="auto"/>
        <w:bottom w:val="none" w:sz="0" w:space="0" w:color="auto"/>
        <w:right w:val="none" w:sz="0" w:space="0" w:color="auto"/>
      </w:divBdr>
    </w:div>
    <w:div w:id="1647928184">
      <w:bodyDiv w:val="1"/>
      <w:marLeft w:val="0"/>
      <w:marRight w:val="0"/>
      <w:marTop w:val="0"/>
      <w:marBottom w:val="0"/>
      <w:divBdr>
        <w:top w:val="none" w:sz="0" w:space="0" w:color="auto"/>
        <w:left w:val="none" w:sz="0" w:space="0" w:color="auto"/>
        <w:bottom w:val="none" w:sz="0" w:space="0" w:color="auto"/>
        <w:right w:val="none" w:sz="0" w:space="0" w:color="auto"/>
      </w:divBdr>
    </w:div>
    <w:div w:id="1651668719">
      <w:bodyDiv w:val="1"/>
      <w:marLeft w:val="0"/>
      <w:marRight w:val="0"/>
      <w:marTop w:val="0"/>
      <w:marBottom w:val="0"/>
      <w:divBdr>
        <w:top w:val="none" w:sz="0" w:space="0" w:color="auto"/>
        <w:left w:val="none" w:sz="0" w:space="0" w:color="auto"/>
        <w:bottom w:val="none" w:sz="0" w:space="0" w:color="auto"/>
        <w:right w:val="none" w:sz="0" w:space="0" w:color="auto"/>
      </w:divBdr>
    </w:div>
    <w:div w:id="1653674139">
      <w:bodyDiv w:val="1"/>
      <w:marLeft w:val="0"/>
      <w:marRight w:val="0"/>
      <w:marTop w:val="0"/>
      <w:marBottom w:val="0"/>
      <w:divBdr>
        <w:top w:val="none" w:sz="0" w:space="0" w:color="auto"/>
        <w:left w:val="none" w:sz="0" w:space="0" w:color="auto"/>
        <w:bottom w:val="none" w:sz="0" w:space="0" w:color="auto"/>
        <w:right w:val="none" w:sz="0" w:space="0" w:color="auto"/>
      </w:divBdr>
    </w:div>
    <w:div w:id="1660964888">
      <w:bodyDiv w:val="1"/>
      <w:marLeft w:val="0"/>
      <w:marRight w:val="0"/>
      <w:marTop w:val="0"/>
      <w:marBottom w:val="0"/>
      <w:divBdr>
        <w:top w:val="none" w:sz="0" w:space="0" w:color="auto"/>
        <w:left w:val="none" w:sz="0" w:space="0" w:color="auto"/>
        <w:bottom w:val="none" w:sz="0" w:space="0" w:color="auto"/>
        <w:right w:val="none" w:sz="0" w:space="0" w:color="auto"/>
      </w:divBdr>
    </w:div>
    <w:div w:id="1663316410">
      <w:bodyDiv w:val="1"/>
      <w:marLeft w:val="0"/>
      <w:marRight w:val="0"/>
      <w:marTop w:val="0"/>
      <w:marBottom w:val="0"/>
      <w:divBdr>
        <w:top w:val="none" w:sz="0" w:space="0" w:color="auto"/>
        <w:left w:val="none" w:sz="0" w:space="0" w:color="auto"/>
        <w:bottom w:val="none" w:sz="0" w:space="0" w:color="auto"/>
        <w:right w:val="none" w:sz="0" w:space="0" w:color="auto"/>
      </w:divBdr>
    </w:div>
    <w:div w:id="1663659445">
      <w:bodyDiv w:val="1"/>
      <w:marLeft w:val="0"/>
      <w:marRight w:val="0"/>
      <w:marTop w:val="0"/>
      <w:marBottom w:val="0"/>
      <w:divBdr>
        <w:top w:val="none" w:sz="0" w:space="0" w:color="auto"/>
        <w:left w:val="none" w:sz="0" w:space="0" w:color="auto"/>
        <w:bottom w:val="none" w:sz="0" w:space="0" w:color="auto"/>
        <w:right w:val="none" w:sz="0" w:space="0" w:color="auto"/>
      </w:divBdr>
    </w:div>
    <w:div w:id="1664234149">
      <w:bodyDiv w:val="1"/>
      <w:marLeft w:val="0"/>
      <w:marRight w:val="0"/>
      <w:marTop w:val="0"/>
      <w:marBottom w:val="0"/>
      <w:divBdr>
        <w:top w:val="none" w:sz="0" w:space="0" w:color="auto"/>
        <w:left w:val="none" w:sz="0" w:space="0" w:color="auto"/>
        <w:bottom w:val="none" w:sz="0" w:space="0" w:color="auto"/>
        <w:right w:val="none" w:sz="0" w:space="0" w:color="auto"/>
      </w:divBdr>
    </w:div>
    <w:div w:id="1668433425">
      <w:bodyDiv w:val="1"/>
      <w:marLeft w:val="0"/>
      <w:marRight w:val="0"/>
      <w:marTop w:val="0"/>
      <w:marBottom w:val="0"/>
      <w:divBdr>
        <w:top w:val="none" w:sz="0" w:space="0" w:color="auto"/>
        <w:left w:val="none" w:sz="0" w:space="0" w:color="auto"/>
        <w:bottom w:val="none" w:sz="0" w:space="0" w:color="auto"/>
        <w:right w:val="none" w:sz="0" w:space="0" w:color="auto"/>
      </w:divBdr>
    </w:div>
    <w:div w:id="1673946036">
      <w:bodyDiv w:val="1"/>
      <w:marLeft w:val="0"/>
      <w:marRight w:val="0"/>
      <w:marTop w:val="0"/>
      <w:marBottom w:val="0"/>
      <w:divBdr>
        <w:top w:val="none" w:sz="0" w:space="0" w:color="auto"/>
        <w:left w:val="none" w:sz="0" w:space="0" w:color="auto"/>
        <w:bottom w:val="none" w:sz="0" w:space="0" w:color="auto"/>
        <w:right w:val="none" w:sz="0" w:space="0" w:color="auto"/>
      </w:divBdr>
    </w:div>
    <w:div w:id="1674070378">
      <w:bodyDiv w:val="1"/>
      <w:marLeft w:val="0"/>
      <w:marRight w:val="0"/>
      <w:marTop w:val="0"/>
      <w:marBottom w:val="0"/>
      <w:divBdr>
        <w:top w:val="none" w:sz="0" w:space="0" w:color="auto"/>
        <w:left w:val="none" w:sz="0" w:space="0" w:color="auto"/>
        <w:bottom w:val="none" w:sz="0" w:space="0" w:color="auto"/>
        <w:right w:val="none" w:sz="0" w:space="0" w:color="auto"/>
      </w:divBdr>
    </w:div>
    <w:div w:id="1677027868">
      <w:bodyDiv w:val="1"/>
      <w:marLeft w:val="0"/>
      <w:marRight w:val="0"/>
      <w:marTop w:val="0"/>
      <w:marBottom w:val="0"/>
      <w:divBdr>
        <w:top w:val="none" w:sz="0" w:space="0" w:color="auto"/>
        <w:left w:val="none" w:sz="0" w:space="0" w:color="auto"/>
        <w:bottom w:val="none" w:sz="0" w:space="0" w:color="auto"/>
        <w:right w:val="none" w:sz="0" w:space="0" w:color="auto"/>
      </w:divBdr>
    </w:div>
    <w:div w:id="1677150899">
      <w:bodyDiv w:val="1"/>
      <w:marLeft w:val="0"/>
      <w:marRight w:val="0"/>
      <w:marTop w:val="0"/>
      <w:marBottom w:val="0"/>
      <w:divBdr>
        <w:top w:val="none" w:sz="0" w:space="0" w:color="auto"/>
        <w:left w:val="none" w:sz="0" w:space="0" w:color="auto"/>
        <w:bottom w:val="none" w:sz="0" w:space="0" w:color="auto"/>
        <w:right w:val="none" w:sz="0" w:space="0" w:color="auto"/>
      </w:divBdr>
    </w:div>
    <w:div w:id="1681347083">
      <w:bodyDiv w:val="1"/>
      <w:marLeft w:val="0"/>
      <w:marRight w:val="0"/>
      <w:marTop w:val="0"/>
      <w:marBottom w:val="0"/>
      <w:divBdr>
        <w:top w:val="none" w:sz="0" w:space="0" w:color="auto"/>
        <w:left w:val="none" w:sz="0" w:space="0" w:color="auto"/>
        <w:bottom w:val="none" w:sz="0" w:space="0" w:color="auto"/>
        <w:right w:val="none" w:sz="0" w:space="0" w:color="auto"/>
      </w:divBdr>
    </w:div>
    <w:div w:id="1682732697">
      <w:bodyDiv w:val="1"/>
      <w:marLeft w:val="0"/>
      <w:marRight w:val="0"/>
      <w:marTop w:val="0"/>
      <w:marBottom w:val="0"/>
      <w:divBdr>
        <w:top w:val="none" w:sz="0" w:space="0" w:color="auto"/>
        <w:left w:val="none" w:sz="0" w:space="0" w:color="auto"/>
        <w:bottom w:val="none" w:sz="0" w:space="0" w:color="auto"/>
        <w:right w:val="none" w:sz="0" w:space="0" w:color="auto"/>
      </w:divBdr>
    </w:div>
    <w:div w:id="1685089074">
      <w:bodyDiv w:val="1"/>
      <w:marLeft w:val="0"/>
      <w:marRight w:val="0"/>
      <w:marTop w:val="0"/>
      <w:marBottom w:val="0"/>
      <w:divBdr>
        <w:top w:val="none" w:sz="0" w:space="0" w:color="auto"/>
        <w:left w:val="none" w:sz="0" w:space="0" w:color="auto"/>
        <w:bottom w:val="none" w:sz="0" w:space="0" w:color="auto"/>
        <w:right w:val="none" w:sz="0" w:space="0" w:color="auto"/>
      </w:divBdr>
    </w:div>
    <w:div w:id="1686516026">
      <w:bodyDiv w:val="1"/>
      <w:marLeft w:val="0"/>
      <w:marRight w:val="0"/>
      <w:marTop w:val="0"/>
      <w:marBottom w:val="0"/>
      <w:divBdr>
        <w:top w:val="none" w:sz="0" w:space="0" w:color="auto"/>
        <w:left w:val="none" w:sz="0" w:space="0" w:color="auto"/>
        <w:bottom w:val="none" w:sz="0" w:space="0" w:color="auto"/>
        <w:right w:val="none" w:sz="0" w:space="0" w:color="auto"/>
      </w:divBdr>
    </w:div>
    <w:div w:id="1691494407">
      <w:bodyDiv w:val="1"/>
      <w:marLeft w:val="0"/>
      <w:marRight w:val="0"/>
      <w:marTop w:val="0"/>
      <w:marBottom w:val="0"/>
      <w:divBdr>
        <w:top w:val="none" w:sz="0" w:space="0" w:color="auto"/>
        <w:left w:val="none" w:sz="0" w:space="0" w:color="auto"/>
        <w:bottom w:val="none" w:sz="0" w:space="0" w:color="auto"/>
        <w:right w:val="none" w:sz="0" w:space="0" w:color="auto"/>
      </w:divBdr>
    </w:div>
    <w:div w:id="1692295827">
      <w:bodyDiv w:val="1"/>
      <w:marLeft w:val="0"/>
      <w:marRight w:val="0"/>
      <w:marTop w:val="0"/>
      <w:marBottom w:val="0"/>
      <w:divBdr>
        <w:top w:val="none" w:sz="0" w:space="0" w:color="auto"/>
        <w:left w:val="none" w:sz="0" w:space="0" w:color="auto"/>
        <w:bottom w:val="none" w:sz="0" w:space="0" w:color="auto"/>
        <w:right w:val="none" w:sz="0" w:space="0" w:color="auto"/>
      </w:divBdr>
    </w:div>
    <w:div w:id="1695613580">
      <w:bodyDiv w:val="1"/>
      <w:marLeft w:val="0"/>
      <w:marRight w:val="0"/>
      <w:marTop w:val="0"/>
      <w:marBottom w:val="0"/>
      <w:divBdr>
        <w:top w:val="none" w:sz="0" w:space="0" w:color="auto"/>
        <w:left w:val="none" w:sz="0" w:space="0" w:color="auto"/>
        <w:bottom w:val="none" w:sz="0" w:space="0" w:color="auto"/>
        <w:right w:val="none" w:sz="0" w:space="0" w:color="auto"/>
      </w:divBdr>
    </w:div>
    <w:div w:id="1699619343">
      <w:bodyDiv w:val="1"/>
      <w:marLeft w:val="0"/>
      <w:marRight w:val="0"/>
      <w:marTop w:val="0"/>
      <w:marBottom w:val="0"/>
      <w:divBdr>
        <w:top w:val="none" w:sz="0" w:space="0" w:color="auto"/>
        <w:left w:val="none" w:sz="0" w:space="0" w:color="auto"/>
        <w:bottom w:val="none" w:sz="0" w:space="0" w:color="auto"/>
        <w:right w:val="none" w:sz="0" w:space="0" w:color="auto"/>
      </w:divBdr>
    </w:div>
    <w:div w:id="1701055571">
      <w:bodyDiv w:val="1"/>
      <w:marLeft w:val="0"/>
      <w:marRight w:val="0"/>
      <w:marTop w:val="0"/>
      <w:marBottom w:val="0"/>
      <w:divBdr>
        <w:top w:val="none" w:sz="0" w:space="0" w:color="auto"/>
        <w:left w:val="none" w:sz="0" w:space="0" w:color="auto"/>
        <w:bottom w:val="none" w:sz="0" w:space="0" w:color="auto"/>
        <w:right w:val="none" w:sz="0" w:space="0" w:color="auto"/>
      </w:divBdr>
    </w:div>
    <w:div w:id="1701055736">
      <w:bodyDiv w:val="1"/>
      <w:marLeft w:val="0"/>
      <w:marRight w:val="0"/>
      <w:marTop w:val="0"/>
      <w:marBottom w:val="0"/>
      <w:divBdr>
        <w:top w:val="none" w:sz="0" w:space="0" w:color="auto"/>
        <w:left w:val="none" w:sz="0" w:space="0" w:color="auto"/>
        <w:bottom w:val="none" w:sz="0" w:space="0" w:color="auto"/>
        <w:right w:val="none" w:sz="0" w:space="0" w:color="auto"/>
      </w:divBdr>
    </w:div>
    <w:div w:id="1703241497">
      <w:bodyDiv w:val="1"/>
      <w:marLeft w:val="0"/>
      <w:marRight w:val="0"/>
      <w:marTop w:val="0"/>
      <w:marBottom w:val="0"/>
      <w:divBdr>
        <w:top w:val="none" w:sz="0" w:space="0" w:color="auto"/>
        <w:left w:val="none" w:sz="0" w:space="0" w:color="auto"/>
        <w:bottom w:val="none" w:sz="0" w:space="0" w:color="auto"/>
        <w:right w:val="none" w:sz="0" w:space="0" w:color="auto"/>
      </w:divBdr>
    </w:div>
    <w:div w:id="1703626900">
      <w:bodyDiv w:val="1"/>
      <w:marLeft w:val="0"/>
      <w:marRight w:val="0"/>
      <w:marTop w:val="0"/>
      <w:marBottom w:val="0"/>
      <w:divBdr>
        <w:top w:val="none" w:sz="0" w:space="0" w:color="auto"/>
        <w:left w:val="none" w:sz="0" w:space="0" w:color="auto"/>
        <w:bottom w:val="none" w:sz="0" w:space="0" w:color="auto"/>
        <w:right w:val="none" w:sz="0" w:space="0" w:color="auto"/>
      </w:divBdr>
    </w:div>
    <w:div w:id="1706175772">
      <w:bodyDiv w:val="1"/>
      <w:marLeft w:val="0"/>
      <w:marRight w:val="0"/>
      <w:marTop w:val="0"/>
      <w:marBottom w:val="0"/>
      <w:divBdr>
        <w:top w:val="none" w:sz="0" w:space="0" w:color="auto"/>
        <w:left w:val="none" w:sz="0" w:space="0" w:color="auto"/>
        <w:bottom w:val="none" w:sz="0" w:space="0" w:color="auto"/>
        <w:right w:val="none" w:sz="0" w:space="0" w:color="auto"/>
      </w:divBdr>
    </w:div>
    <w:div w:id="1706907285">
      <w:bodyDiv w:val="1"/>
      <w:marLeft w:val="0"/>
      <w:marRight w:val="0"/>
      <w:marTop w:val="0"/>
      <w:marBottom w:val="0"/>
      <w:divBdr>
        <w:top w:val="none" w:sz="0" w:space="0" w:color="auto"/>
        <w:left w:val="none" w:sz="0" w:space="0" w:color="auto"/>
        <w:bottom w:val="none" w:sz="0" w:space="0" w:color="auto"/>
        <w:right w:val="none" w:sz="0" w:space="0" w:color="auto"/>
      </w:divBdr>
    </w:div>
    <w:div w:id="1712998005">
      <w:bodyDiv w:val="1"/>
      <w:marLeft w:val="0"/>
      <w:marRight w:val="0"/>
      <w:marTop w:val="0"/>
      <w:marBottom w:val="0"/>
      <w:divBdr>
        <w:top w:val="none" w:sz="0" w:space="0" w:color="auto"/>
        <w:left w:val="none" w:sz="0" w:space="0" w:color="auto"/>
        <w:bottom w:val="none" w:sz="0" w:space="0" w:color="auto"/>
        <w:right w:val="none" w:sz="0" w:space="0" w:color="auto"/>
      </w:divBdr>
    </w:div>
    <w:div w:id="1713923703">
      <w:bodyDiv w:val="1"/>
      <w:marLeft w:val="0"/>
      <w:marRight w:val="0"/>
      <w:marTop w:val="0"/>
      <w:marBottom w:val="0"/>
      <w:divBdr>
        <w:top w:val="none" w:sz="0" w:space="0" w:color="auto"/>
        <w:left w:val="none" w:sz="0" w:space="0" w:color="auto"/>
        <w:bottom w:val="none" w:sz="0" w:space="0" w:color="auto"/>
        <w:right w:val="none" w:sz="0" w:space="0" w:color="auto"/>
      </w:divBdr>
      <w:divsChild>
        <w:div w:id="538665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739053">
              <w:marLeft w:val="0"/>
              <w:marRight w:val="0"/>
              <w:marTop w:val="0"/>
              <w:marBottom w:val="0"/>
              <w:divBdr>
                <w:top w:val="none" w:sz="0" w:space="0" w:color="auto"/>
                <w:left w:val="none" w:sz="0" w:space="0" w:color="auto"/>
                <w:bottom w:val="none" w:sz="0" w:space="0" w:color="auto"/>
                <w:right w:val="none" w:sz="0" w:space="0" w:color="auto"/>
              </w:divBdr>
              <w:divsChild>
                <w:div w:id="1707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1029">
      <w:bodyDiv w:val="1"/>
      <w:marLeft w:val="0"/>
      <w:marRight w:val="0"/>
      <w:marTop w:val="0"/>
      <w:marBottom w:val="0"/>
      <w:divBdr>
        <w:top w:val="none" w:sz="0" w:space="0" w:color="auto"/>
        <w:left w:val="none" w:sz="0" w:space="0" w:color="auto"/>
        <w:bottom w:val="none" w:sz="0" w:space="0" w:color="auto"/>
        <w:right w:val="none" w:sz="0" w:space="0" w:color="auto"/>
      </w:divBdr>
    </w:div>
    <w:div w:id="1714964397">
      <w:bodyDiv w:val="1"/>
      <w:marLeft w:val="0"/>
      <w:marRight w:val="0"/>
      <w:marTop w:val="0"/>
      <w:marBottom w:val="0"/>
      <w:divBdr>
        <w:top w:val="none" w:sz="0" w:space="0" w:color="auto"/>
        <w:left w:val="none" w:sz="0" w:space="0" w:color="auto"/>
        <w:bottom w:val="none" w:sz="0" w:space="0" w:color="auto"/>
        <w:right w:val="none" w:sz="0" w:space="0" w:color="auto"/>
      </w:divBdr>
    </w:div>
    <w:div w:id="1718115909">
      <w:bodyDiv w:val="1"/>
      <w:marLeft w:val="0"/>
      <w:marRight w:val="0"/>
      <w:marTop w:val="0"/>
      <w:marBottom w:val="0"/>
      <w:divBdr>
        <w:top w:val="none" w:sz="0" w:space="0" w:color="auto"/>
        <w:left w:val="none" w:sz="0" w:space="0" w:color="auto"/>
        <w:bottom w:val="none" w:sz="0" w:space="0" w:color="auto"/>
        <w:right w:val="none" w:sz="0" w:space="0" w:color="auto"/>
      </w:divBdr>
    </w:div>
    <w:div w:id="1726951194">
      <w:bodyDiv w:val="1"/>
      <w:marLeft w:val="0"/>
      <w:marRight w:val="0"/>
      <w:marTop w:val="0"/>
      <w:marBottom w:val="0"/>
      <w:divBdr>
        <w:top w:val="none" w:sz="0" w:space="0" w:color="auto"/>
        <w:left w:val="none" w:sz="0" w:space="0" w:color="auto"/>
        <w:bottom w:val="none" w:sz="0" w:space="0" w:color="auto"/>
        <w:right w:val="none" w:sz="0" w:space="0" w:color="auto"/>
      </w:divBdr>
    </w:div>
    <w:div w:id="1728413331">
      <w:bodyDiv w:val="1"/>
      <w:marLeft w:val="0"/>
      <w:marRight w:val="0"/>
      <w:marTop w:val="0"/>
      <w:marBottom w:val="0"/>
      <w:divBdr>
        <w:top w:val="none" w:sz="0" w:space="0" w:color="auto"/>
        <w:left w:val="none" w:sz="0" w:space="0" w:color="auto"/>
        <w:bottom w:val="none" w:sz="0" w:space="0" w:color="auto"/>
        <w:right w:val="none" w:sz="0" w:space="0" w:color="auto"/>
      </w:divBdr>
    </w:div>
    <w:div w:id="1733694900">
      <w:bodyDiv w:val="1"/>
      <w:marLeft w:val="0"/>
      <w:marRight w:val="0"/>
      <w:marTop w:val="0"/>
      <w:marBottom w:val="0"/>
      <w:divBdr>
        <w:top w:val="none" w:sz="0" w:space="0" w:color="auto"/>
        <w:left w:val="none" w:sz="0" w:space="0" w:color="auto"/>
        <w:bottom w:val="none" w:sz="0" w:space="0" w:color="auto"/>
        <w:right w:val="none" w:sz="0" w:space="0" w:color="auto"/>
      </w:divBdr>
    </w:div>
    <w:div w:id="1734812123">
      <w:bodyDiv w:val="1"/>
      <w:marLeft w:val="0"/>
      <w:marRight w:val="0"/>
      <w:marTop w:val="0"/>
      <w:marBottom w:val="0"/>
      <w:divBdr>
        <w:top w:val="none" w:sz="0" w:space="0" w:color="auto"/>
        <w:left w:val="none" w:sz="0" w:space="0" w:color="auto"/>
        <w:bottom w:val="none" w:sz="0" w:space="0" w:color="auto"/>
        <w:right w:val="none" w:sz="0" w:space="0" w:color="auto"/>
      </w:divBdr>
    </w:div>
    <w:div w:id="1735006071">
      <w:bodyDiv w:val="1"/>
      <w:marLeft w:val="0"/>
      <w:marRight w:val="0"/>
      <w:marTop w:val="0"/>
      <w:marBottom w:val="0"/>
      <w:divBdr>
        <w:top w:val="none" w:sz="0" w:space="0" w:color="auto"/>
        <w:left w:val="none" w:sz="0" w:space="0" w:color="auto"/>
        <w:bottom w:val="none" w:sz="0" w:space="0" w:color="auto"/>
        <w:right w:val="none" w:sz="0" w:space="0" w:color="auto"/>
      </w:divBdr>
    </w:div>
    <w:div w:id="1736508324">
      <w:bodyDiv w:val="1"/>
      <w:marLeft w:val="0"/>
      <w:marRight w:val="0"/>
      <w:marTop w:val="0"/>
      <w:marBottom w:val="0"/>
      <w:divBdr>
        <w:top w:val="none" w:sz="0" w:space="0" w:color="auto"/>
        <w:left w:val="none" w:sz="0" w:space="0" w:color="auto"/>
        <w:bottom w:val="none" w:sz="0" w:space="0" w:color="auto"/>
        <w:right w:val="none" w:sz="0" w:space="0" w:color="auto"/>
      </w:divBdr>
    </w:div>
    <w:div w:id="1743335829">
      <w:bodyDiv w:val="1"/>
      <w:marLeft w:val="0"/>
      <w:marRight w:val="0"/>
      <w:marTop w:val="0"/>
      <w:marBottom w:val="0"/>
      <w:divBdr>
        <w:top w:val="none" w:sz="0" w:space="0" w:color="auto"/>
        <w:left w:val="none" w:sz="0" w:space="0" w:color="auto"/>
        <w:bottom w:val="none" w:sz="0" w:space="0" w:color="auto"/>
        <w:right w:val="none" w:sz="0" w:space="0" w:color="auto"/>
      </w:divBdr>
    </w:div>
    <w:div w:id="1746418468">
      <w:bodyDiv w:val="1"/>
      <w:marLeft w:val="0"/>
      <w:marRight w:val="0"/>
      <w:marTop w:val="0"/>
      <w:marBottom w:val="0"/>
      <w:divBdr>
        <w:top w:val="none" w:sz="0" w:space="0" w:color="auto"/>
        <w:left w:val="none" w:sz="0" w:space="0" w:color="auto"/>
        <w:bottom w:val="none" w:sz="0" w:space="0" w:color="auto"/>
        <w:right w:val="none" w:sz="0" w:space="0" w:color="auto"/>
      </w:divBdr>
    </w:div>
    <w:div w:id="1750735431">
      <w:bodyDiv w:val="1"/>
      <w:marLeft w:val="0"/>
      <w:marRight w:val="0"/>
      <w:marTop w:val="0"/>
      <w:marBottom w:val="0"/>
      <w:divBdr>
        <w:top w:val="none" w:sz="0" w:space="0" w:color="auto"/>
        <w:left w:val="none" w:sz="0" w:space="0" w:color="auto"/>
        <w:bottom w:val="none" w:sz="0" w:space="0" w:color="auto"/>
        <w:right w:val="none" w:sz="0" w:space="0" w:color="auto"/>
      </w:divBdr>
    </w:div>
    <w:div w:id="1760983229">
      <w:bodyDiv w:val="1"/>
      <w:marLeft w:val="0"/>
      <w:marRight w:val="0"/>
      <w:marTop w:val="0"/>
      <w:marBottom w:val="0"/>
      <w:divBdr>
        <w:top w:val="none" w:sz="0" w:space="0" w:color="auto"/>
        <w:left w:val="none" w:sz="0" w:space="0" w:color="auto"/>
        <w:bottom w:val="none" w:sz="0" w:space="0" w:color="auto"/>
        <w:right w:val="none" w:sz="0" w:space="0" w:color="auto"/>
      </w:divBdr>
    </w:div>
    <w:div w:id="1762137317">
      <w:bodyDiv w:val="1"/>
      <w:marLeft w:val="0"/>
      <w:marRight w:val="0"/>
      <w:marTop w:val="0"/>
      <w:marBottom w:val="0"/>
      <w:divBdr>
        <w:top w:val="none" w:sz="0" w:space="0" w:color="auto"/>
        <w:left w:val="none" w:sz="0" w:space="0" w:color="auto"/>
        <w:bottom w:val="none" w:sz="0" w:space="0" w:color="auto"/>
        <w:right w:val="none" w:sz="0" w:space="0" w:color="auto"/>
      </w:divBdr>
    </w:div>
    <w:div w:id="1770194108">
      <w:bodyDiv w:val="1"/>
      <w:marLeft w:val="0"/>
      <w:marRight w:val="0"/>
      <w:marTop w:val="0"/>
      <w:marBottom w:val="0"/>
      <w:divBdr>
        <w:top w:val="none" w:sz="0" w:space="0" w:color="auto"/>
        <w:left w:val="none" w:sz="0" w:space="0" w:color="auto"/>
        <w:bottom w:val="none" w:sz="0" w:space="0" w:color="auto"/>
        <w:right w:val="none" w:sz="0" w:space="0" w:color="auto"/>
      </w:divBdr>
    </w:div>
    <w:div w:id="1771509112">
      <w:bodyDiv w:val="1"/>
      <w:marLeft w:val="0"/>
      <w:marRight w:val="0"/>
      <w:marTop w:val="0"/>
      <w:marBottom w:val="0"/>
      <w:divBdr>
        <w:top w:val="none" w:sz="0" w:space="0" w:color="auto"/>
        <w:left w:val="none" w:sz="0" w:space="0" w:color="auto"/>
        <w:bottom w:val="none" w:sz="0" w:space="0" w:color="auto"/>
        <w:right w:val="none" w:sz="0" w:space="0" w:color="auto"/>
      </w:divBdr>
    </w:div>
    <w:div w:id="1771777640">
      <w:bodyDiv w:val="1"/>
      <w:marLeft w:val="0"/>
      <w:marRight w:val="0"/>
      <w:marTop w:val="0"/>
      <w:marBottom w:val="0"/>
      <w:divBdr>
        <w:top w:val="none" w:sz="0" w:space="0" w:color="auto"/>
        <w:left w:val="none" w:sz="0" w:space="0" w:color="auto"/>
        <w:bottom w:val="none" w:sz="0" w:space="0" w:color="auto"/>
        <w:right w:val="none" w:sz="0" w:space="0" w:color="auto"/>
      </w:divBdr>
    </w:div>
    <w:div w:id="1775665056">
      <w:bodyDiv w:val="1"/>
      <w:marLeft w:val="0"/>
      <w:marRight w:val="0"/>
      <w:marTop w:val="0"/>
      <w:marBottom w:val="0"/>
      <w:divBdr>
        <w:top w:val="none" w:sz="0" w:space="0" w:color="auto"/>
        <w:left w:val="none" w:sz="0" w:space="0" w:color="auto"/>
        <w:bottom w:val="none" w:sz="0" w:space="0" w:color="auto"/>
        <w:right w:val="none" w:sz="0" w:space="0" w:color="auto"/>
      </w:divBdr>
    </w:div>
    <w:div w:id="1780830236">
      <w:bodyDiv w:val="1"/>
      <w:marLeft w:val="0"/>
      <w:marRight w:val="0"/>
      <w:marTop w:val="0"/>
      <w:marBottom w:val="0"/>
      <w:divBdr>
        <w:top w:val="none" w:sz="0" w:space="0" w:color="auto"/>
        <w:left w:val="none" w:sz="0" w:space="0" w:color="auto"/>
        <w:bottom w:val="none" w:sz="0" w:space="0" w:color="auto"/>
        <w:right w:val="none" w:sz="0" w:space="0" w:color="auto"/>
      </w:divBdr>
    </w:div>
    <w:div w:id="1785464028">
      <w:bodyDiv w:val="1"/>
      <w:marLeft w:val="0"/>
      <w:marRight w:val="0"/>
      <w:marTop w:val="0"/>
      <w:marBottom w:val="0"/>
      <w:divBdr>
        <w:top w:val="none" w:sz="0" w:space="0" w:color="auto"/>
        <w:left w:val="none" w:sz="0" w:space="0" w:color="auto"/>
        <w:bottom w:val="none" w:sz="0" w:space="0" w:color="auto"/>
        <w:right w:val="none" w:sz="0" w:space="0" w:color="auto"/>
      </w:divBdr>
    </w:div>
    <w:div w:id="1791437606">
      <w:bodyDiv w:val="1"/>
      <w:marLeft w:val="0"/>
      <w:marRight w:val="0"/>
      <w:marTop w:val="0"/>
      <w:marBottom w:val="0"/>
      <w:divBdr>
        <w:top w:val="none" w:sz="0" w:space="0" w:color="auto"/>
        <w:left w:val="none" w:sz="0" w:space="0" w:color="auto"/>
        <w:bottom w:val="none" w:sz="0" w:space="0" w:color="auto"/>
        <w:right w:val="none" w:sz="0" w:space="0" w:color="auto"/>
      </w:divBdr>
    </w:div>
    <w:div w:id="1796286398">
      <w:bodyDiv w:val="1"/>
      <w:marLeft w:val="0"/>
      <w:marRight w:val="0"/>
      <w:marTop w:val="0"/>
      <w:marBottom w:val="0"/>
      <w:divBdr>
        <w:top w:val="none" w:sz="0" w:space="0" w:color="auto"/>
        <w:left w:val="none" w:sz="0" w:space="0" w:color="auto"/>
        <w:bottom w:val="none" w:sz="0" w:space="0" w:color="auto"/>
        <w:right w:val="none" w:sz="0" w:space="0" w:color="auto"/>
      </w:divBdr>
    </w:div>
    <w:div w:id="1800103445">
      <w:bodyDiv w:val="1"/>
      <w:marLeft w:val="0"/>
      <w:marRight w:val="0"/>
      <w:marTop w:val="0"/>
      <w:marBottom w:val="0"/>
      <w:divBdr>
        <w:top w:val="none" w:sz="0" w:space="0" w:color="auto"/>
        <w:left w:val="none" w:sz="0" w:space="0" w:color="auto"/>
        <w:bottom w:val="none" w:sz="0" w:space="0" w:color="auto"/>
        <w:right w:val="none" w:sz="0" w:space="0" w:color="auto"/>
      </w:divBdr>
    </w:div>
    <w:div w:id="1803452154">
      <w:bodyDiv w:val="1"/>
      <w:marLeft w:val="0"/>
      <w:marRight w:val="0"/>
      <w:marTop w:val="0"/>
      <w:marBottom w:val="0"/>
      <w:divBdr>
        <w:top w:val="none" w:sz="0" w:space="0" w:color="auto"/>
        <w:left w:val="none" w:sz="0" w:space="0" w:color="auto"/>
        <w:bottom w:val="none" w:sz="0" w:space="0" w:color="auto"/>
        <w:right w:val="none" w:sz="0" w:space="0" w:color="auto"/>
      </w:divBdr>
    </w:div>
    <w:div w:id="1805075316">
      <w:bodyDiv w:val="1"/>
      <w:marLeft w:val="0"/>
      <w:marRight w:val="0"/>
      <w:marTop w:val="0"/>
      <w:marBottom w:val="0"/>
      <w:divBdr>
        <w:top w:val="none" w:sz="0" w:space="0" w:color="auto"/>
        <w:left w:val="none" w:sz="0" w:space="0" w:color="auto"/>
        <w:bottom w:val="none" w:sz="0" w:space="0" w:color="auto"/>
        <w:right w:val="none" w:sz="0" w:space="0" w:color="auto"/>
      </w:divBdr>
    </w:div>
    <w:div w:id="1807311936">
      <w:bodyDiv w:val="1"/>
      <w:marLeft w:val="0"/>
      <w:marRight w:val="0"/>
      <w:marTop w:val="0"/>
      <w:marBottom w:val="0"/>
      <w:divBdr>
        <w:top w:val="none" w:sz="0" w:space="0" w:color="auto"/>
        <w:left w:val="none" w:sz="0" w:space="0" w:color="auto"/>
        <w:bottom w:val="none" w:sz="0" w:space="0" w:color="auto"/>
        <w:right w:val="none" w:sz="0" w:space="0" w:color="auto"/>
      </w:divBdr>
    </w:div>
    <w:div w:id="1811628803">
      <w:bodyDiv w:val="1"/>
      <w:marLeft w:val="0"/>
      <w:marRight w:val="0"/>
      <w:marTop w:val="0"/>
      <w:marBottom w:val="0"/>
      <w:divBdr>
        <w:top w:val="none" w:sz="0" w:space="0" w:color="auto"/>
        <w:left w:val="none" w:sz="0" w:space="0" w:color="auto"/>
        <w:bottom w:val="none" w:sz="0" w:space="0" w:color="auto"/>
        <w:right w:val="none" w:sz="0" w:space="0" w:color="auto"/>
      </w:divBdr>
    </w:div>
    <w:div w:id="1812669428">
      <w:bodyDiv w:val="1"/>
      <w:marLeft w:val="0"/>
      <w:marRight w:val="0"/>
      <w:marTop w:val="0"/>
      <w:marBottom w:val="0"/>
      <w:divBdr>
        <w:top w:val="none" w:sz="0" w:space="0" w:color="auto"/>
        <w:left w:val="none" w:sz="0" w:space="0" w:color="auto"/>
        <w:bottom w:val="none" w:sz="0" w:space="0" w:color="auto"/>
        <w:right w:val="none" w:sz="0" w:space="0" w:color="auto"/>
      </w:divBdr>
    </w:div>
    <w:div w:id="1815441951">
      <w:bodyDiv w:val="1"/>
      <w:marLeft w:val="0"/>
      <w:marRight w:val="0"/>
      <w:marTop w:val="0"/>
      <w:marBottom w:val="0"/>
      <w:divBdr>
        <w:top w:val="none" w:sz="0" w:space="0" w:color="auto"/>
        <w:left w:val="none" w:sz="0" w:space="0" w:color="auto"/>
        <w:bottom w:val="none" w:sz="0" w:space="0" w:color="auto"/>
        <w:right w:val="none" w:sz="0" w:space="0" w:color="auto"/>
      </w:divBdr>
    </w:div>
    <w:div w:id="1818377546">
      <w:bodyDiv w:val="1"/>
      <w:marLeft w:val="0"/>
      <w:marRight w:val="0"/>
      <w:marTop w:val="0"/>
      <w:marBottom w:val="0"/>
      <w:divBdr>
        <w:top w:val="none" w:sz="0" w:space="0" w:color="auto"/>
        <w:left w:val="none" w:sz="0" w:space="0" w:color="auto"/>
        <w:bottom w:val="none" w:sz="0" w:space="0" w:color="auto"/>
        <w:right w:val="none" w:sz="0" w:space="0" w:color="auto"/>
      </w:divBdr>
    </w:div>
    <w:div w:id="1820685426">
      <w:bodyDiv w:val="1"/>
      <w:marLeft w:val="0"/>
      <w:marRight w:val="0"/>
      <w:marTop w:val="0"/>
      <w:marBottom w:val="0"/>
      <w:divBdr>
        <w:top w:val="none" w:sz="0" w:space="0" w:color="auto"/>
        <w:left w:val="none" w:sz="0" w:space="0" w:color="auto"/>
        <w:bottom w:val="none" w:sz="0" w:space="0" w:color="auto"/>
        <w:right w:val="none" w:sz="0" w:space="0" w:color="auto"/>
      </w:divBdr>
    </w:div>
    <w:div w:id="1824619871">
      <w:bodyDiv w:val="1"/>
      <w:marLeft w:val="0"/>
      <w:marRight w:val="0"/>
      <w:marTop w:val="0"/>
      <w:marBottom w:val="0"/>
      <w:divBdr>
        <w:top w:val="none" w:sz="0" w:space="0" w:color="auto"/>
        <w:left w:val="none" w:sz="0" w:space="0" w:color="auto"/>
        <w:bottom w:val="none" w:sz="0" w:space="0" w:color="auto"/>
        <w:right w:val="none" w:sz="0" w:space="0" w:color="auto"/>
      </w:divBdr>
    </w:div>
    <w:div w:id="1825005071">
      <w:bodyDiv w:val="1"/>
      <w:marLeft w:val="0"/>
      <w:marRight w:val="0"/>
      <w:marTop w:val="0"/>
      <w:marBottom w:val="0"/>
      <w:divBdr>
        <w:top w:val="none" w:sz="0" w:space="0" w:color="auto"/>
        <w:left w:val="none" w:sz="0" w:space="0" w:color="auto"/>
        <w:bottom w:val="none" w:sz="0" w:space="0" w:color="auto"/>
        <w:right w:val="none" w:sz="0" w:space="0" w:color="auto"/>
      </w:divBdr>
    </w:div>
    <w:div w:id="1825588571">
      <w:bodyDiv w:val="1"/>
      <w:marLeft w:val="0"/>
      <w:marRight w:val="0"/>
      <w:marTop w:val="0"/>
      <w:marBottom w:val="0"/>
      <w:divBdr>
        <w:top w:val="none" w:sz="0" w:space="0" w:color="auto"/>
        <w:left w:val="none" w:sz="0" w:space="0" w:color="auto"/>
        <w:bottom w:val="none" w:sz="0" w:space="0" w:color="auto"/>
        <w:right w:val="none" w:sz="0" w:space="0" w:color="auto"/>
      </w:divBdr>
    </w:div>
    <w:div w:id="1829591696">
      <w:bodyDiv w:val="1"/>
      <w:marLeft w:val="0"/>
      <w:marRight w:val="0"/>
      <w:marTop w:val="0"/>
      <w:marBottom w:val="0"/>
      <w:divBdr>
        <w:top w:val="none" w:sz="0" w:space="0" w:color="auto"/>
        <w:left w:val="none" w:sz="0" w:space="0" w:color="auto"/>
        <w:bottom w:val="none" w:sz="0" w:space="0" w:color="auto"/>
        <w:right w:val="none" w:sz="0" w:space="0" w:color="auto"/>
      </w:divBdr>
    </w:div>
    <w:div w:id="1830512870">
      <w:bodyDiv w:val="1"/>
      <w:marLeft w:val="0"/>
      <w:marRight w:val="0"/>
      <w:marTop w:val="0"/>
      <w:marBottom w:val="0"/>
      <w:divBdr>
        <w:top w:val="none" w:sz="0" w:space="0" w:color="auto"/>
        <w:left w:val="none" w:sz="0" w:space="0" w:color="auto"/>
        <w:bottom w:val="none" w:sz="0" w:space="0" w:color="auto"/>
        <w:right w:val="none" w:sz="0" w:space="0" w:color="auto"/>
      </w:divBdr>
    </w:div>
    <w:div w:id="1831822228">
      <w:bodyDiv w:val="1"/>
      <w:marLeft w:val="0"/>
      <w:marRight w:val="0"/>
      <w:marTop w:val="0"/>
      <w:marBottom w:val="0"/>
      <w:divBdr>
        <w:top w:val="none" w:sz="0" w:space="0" w:color="auto"/>
        <w:left w:val="none" w:sz="0" w:space="0" w:color="auto"/>
        <w:bottom w:val="none" w:sz="0" w:space="0" w:color="auto"/>
        <w:right w:val="none" w:sz="0" w:space="0" w:color="auto"/>
      </w:divBdr>
    </w:div>
    <w:div w:id="1833180186">
      <w:bodyDiv w:val="1"/>
      <w:marLeft w:val="0"/>
      <w:marRight w:val="0"/>
      <w:marTop w:val="0"/>
      <w:marBottom w:val="0"/>
      <w:divBdr>
        <w:top w:val="none" w:sz="0" w:space="0" w:color="auto"/>
        <w:left w:val="none" w:sz="0" w:space="0" w:color="auto"/>
        <w:bottom w:val="none" w:sz="0" w:space="0" w:color="auto"/>
        <w:right w:val="none" w:sz="0" w:space="0" w:color="auto"/>
      </w:divBdr>
    </w:div>
    <w:div w:id="1833711787">
      <w:bodyDiv w:val="1"/>
      <w:marLeft w:val="0"/>
      <w:marRight w:val="0"/>
      <w:marTop w:val="0"/>
      <w:marBottom w:val="0"/>
      <w:divBdr>
        <w:top w:val="none" w:sz="0" w:space="0" w:color="auto"/>
        <w:left w:val="none" w:sz="0" w:space="0" w:color="auto"/>
        <w:bottom w:val="none" w:sz="0" w:space="0" w:color="auto"/>
        <w:right w:val="none" w:sz="0" w:space="0" w:color="auto"/>
      </w:divBdr>
    </w:div>
    <w:div w:id="1834492009">
      <w:bodyDiv w:val="1"/>
      <w:marLeft w:val="0"/>
      <w:marRight w:val="0"/>
      <w:marTop w:val="0"/>
      <w:marBottom w:val="0"/>
      <w:divBdr>
        <w:top w:val="none" w:sz="0" w:space="0" w:color="auto"/>
        <w:left w:val="none" w:sz="0" w:space="0" w:color="auto"/>
        <w:bottom w:val="none" w:sz="0" w:space="0" w:color="auto"/>
        <w:right w:val="none" w:sz="0" w:space="0" w:color="auto"/>
      </w:divBdr>
    </w:div>
    <w:div w:id="1835872758">
      <w:bodyDiv w:val="1"/>
      <w:marLeft w:val="0"/>
      <w:marRight w:val="0"/>
      <w:marTop w:val="0"/>
      <w:marBottom w:val="0"/>
      <w:divBdr>
        <w:top w:val="none" w:sz="0" w:space="0" w:color="auto"/>
        <w:left w:val="none" w:sz="0" w:space="0" w:color="auto"/>
        <w:bottom w:val="none" w:sz="0" w:space="0" w:color="auto"/>
        <w:right w:val="none" w:sz="0" w:space="0" w:color="auto"/>
      </w:divBdr>
    </w:div>
    <w:div w:id="1841653924">
      <w:bodyDiv w:val="1"/>
      <w:marLeft w:val="0"/>
      <w:marRight w:val="0"/>
      <w:marTop w:val="0"/>
      <w:marBottom w:val="0"/>
      <w:divBdr>
        <w:top w:val="none" w:sz="0" w:space="0" w:color="auto"/>
        <w:left w:val="none" w:sz="0" w:space="0" w:color="auto"/>
        <w:bottom w:val="none" w:sz="0" w:space="0" w:color="auto"/>
        <w:right w:val="none" w:sz="0" w:space="0" w:color="auto"/>
      </w:divBdr>
    </w:div>
    <w:div w:id="1846244339">
      <w:bodyDiv w:val="1"/>
      <w:marLeft w:val="0"/>
      <w:marRight w:val="0"/>
      <w:marTop w:val="0"/>
      <w:marBottom w:val="0"/>
      <w:divBdr>
        <w:top w:val="none" w:sz="0" w:space="0" w:color="auto"/>
        <w:left w:val="none" w:sz="0" w:space="0" w:color="auto"/>
        <w:bottom w:val="none" w:sz="0" w:space="0" w:color="auto"/>
        <w:right w:val="none" w:sz="0" w:space="0" w:color="auto"/>
      </w:divBdr>
    </w:div>
    <w:div w:id="1848708966">
      <w:bodyDiv w:val="1"/>
      <w:marLeft w:val="0"/>
      <w:marRight w:val="0"/>
      <w:marTop w:val="0"/>
      <w:marBottom w:val="0"/>
      <w:divBdr>
        <w:top w:val="none" w:sz="0" w:space="0" w:color="auto"/>
        <w:left w:val="none" w:sz="0" w:space="0" w:color="auto"/>
        <w:bottom w:val="none" w:sz="0" w:space="0" w:color="auto"/>
        <w:right w:val="none" w:sz="0" w:space="0" w:color="auto"/>
      </w:divBdr>
    </w:div>
    <w:div w:id="1852064889">
      <w:bodyDiv w:val="1"/>
      <w:marLeft w:val="0"/>
      <w:marRight w:val="0"/>
      <w:marTop w:val="0"/>
      <w:marBottom w:val="0"/>
      <w:divBdr>
        <w:top w:val="none" w:sz="0" w:space="0" w:color="auto"/>
        <w:left w:val="none" w:sz="0" w:space="0" w:color="auto"/>
        <w:bottom w:val="none" w:sz="0" w:space="0" w:color="auto"/>
        <w:right w:val="none" w:sz="0" w:space="0" w:color="auto"/>
      </w:divBdr>
    </w:div>
    <w:div w:id="1852642393">
      <w:bodyDiv w:val="1"/>
      <w:marLeft w:val="0"/>
      <w:marRight w:val="0"/>
      <w:marTop w:val="0"/>
      <w:marBottom w:val="0"/>
      <w:divBdr>
        <w:top w:val="none" w:sz="0" w:space="0" w:color="auto"/>
        <w:left w:val="none" w:sz="0" w:space="0" w:color="auto"/>
        <w:bottom w:val="none" w:sz="0" w:space="0" w:color="auto"/>
        <w:right w:val="none" w:sz="0" w:space="0" w:color="auto"/>
      </w:divBdr>
    </w:div>
    <w:div w:id="1856574381">
      <w:bodyDiv w:val="1"/>
      <w:marLeft w:val="0"/>
      <w:marRight w:val="0"/>
      <w:marTop w:val="0"/>
      <w:marBottom w:val="0"/>
      <w:divBdr>
        <w:top w:val="none" w:sz="0" w:space="0" w:color="auto"/>
        <w:left w:val="none" w:sz="0" w:space="0" w:color="auto"/>
        <w:bottom w:val="none" w:sz="0" w:space="0" w:color="auto"/>
        <w:right w:val="none" w:sz="0" w:space="0" w:color="auto"/>
      </w:divBdr>
    </w:div>
    <w:div w:id="1860000618">
      <w:bodyDiv w:val="1"/>
      <w:marLeft w:val="0"/>
      <w:marRight w:val="0"/>
      <w:marTop w:val="0"/>
      <w:marBottom w:val="0"/>
      <w:divBdr>
        <w:top w:val="none" w:sz="0" w:space="0" w:color="auto"/>
        <w:left w:val="none" w:sz="0" w:space="0" w:color="auto"/>
        <w:bottom w:val="none" w:sz="0" w:space="0" w:color="auto"/>
        <w:right w:val="none" w:sz="0" w:space="0" w:color="auto"/>
      </w:divBdr>
    </w:div>
    <w:div w:id="1860965940">
      <w:bodyDiv w:val="1"/>
      <w:marLeft w:val="0"/>
      <w:marRight w:val="0"/>
      <w:marTop w:val="0"/>
      <w:marBottom w:val="0"/>
      <w:divBdr>
        <w:top w:val="none" w:sz="0" w:space="0" w:color="auto"/>
        <w:left w:val="none" w:sz="0" w:space="0" w:color="auto"/>
        <w:bottom w:val="none" w:sz="0" w:space="0" w:color="auto"/>
        <w:right w:val="none" w:sz="0" w:space="0" w:color="auto"/>
      </w:divBdr>
    </w:div>
    <w:div w:id="1866365120">
      <w:bodyDiv w:val="1"/>
      <w:marLeft w:val="0"/>
      <w:marRight w:val="0"/>
      <w:marTop w:val="0"/>
      <w:marBottom w:val="0"/>
      <w:divBdr>
        <w:top w:val="none" w:sz="0" w:space="0" w:color="auto"/>
        <w:left w:val="none" w:sz="0" w:space="0" w:color="auto"/>
        <w:bottom w:val="none" w:sz="0" w:space="0" w:color="auto"/>
        <w:right w:val="none" w:sz="0" w:space="0" w:color="auto"/>
      </w:divBdr>
    </w:div>
    <w:div w:id="1871914620">
      <w:bodyDiv w:val="1"/>
      <w:marLeft w:val="0"/>
      <w:marRight w:val="0"/>
      <w:marTop w:val="0"/>
      <w:marBottom w:val="0"/>
      <w:divBdr>
        <w:top w:val="none" w:sz="0" w:space="0" w:color="auto"/>
        <w:left w:val="none" w:sz="0" w:space="0" w:color="auto"/>
        <w:bottom w:val="none" w:sz="0" w:space="0" w:color="auto"/>
        <w:right w:val="none" w:sz="0" w:space="0" w:color="auto"/>
      </w:divBdr>
    </w:div>
    <w:div w:id="1879665325">
      <w:bodyDiv w:val="1"/>
      <w:marLeft w:val="0"/>
      <w:marRight w:val="0"/>
      <w:marTop w:val="0"/>
      <w:marBottom w:val="0"/>
      <w:divBdr>
        <w:top w:val="none" w:sz="0" w:space="0" w:color="auto"/>
        <w:left w:val="none" w:sz="0" w:space="0" w:color="auto"/>
        <w:bottom w:val="none" w:sz="0" w:space="0" w:color="auto"/>
        <w:right w:val="none" w:sz="0" w:space="0" w:color="auto"/>
      </w:divBdr>
    </w:div>
    <w:div w:id="1883519959">
      <w:bodyDiv w:val="1"/>
      <w:marLeft w:val="0"/>
      <w:marRight w:val="0"/>
      <w:marTop w:val="0"/>
      <w:marBottom w:val="0"/>
      <w:divBdr>
        <w:top w:val="none" w:sz="0" w:space="0" w:color="auto"/>
        <w:left w:val="none" w:sz="0" w:space="0" w:color="auto"/>
        <w:bottom w:val="none" w:sz="0" w:space="0" w:color="auto"/>
        <w:right w:val="none" w:sz="0" w:space="0" w:color="auto"/>
      </w:divBdr>
    </w:div>
    <w:div w:id="1883667028">
      <w:bodyDiv w:val="1"/>
      <w:marLeft w:val="0"/>
      <w:marRight w:val="0"/>
      <w:marTop w:val="0"/>
      <w:marBottom w:val="0"/>
      <w:divBdr>
        <w:top w:val="none" w:sz="0" w:space="0" w:color="auto"/>
        <w:left w:val="none" w:sz="0" w:space="0" w:color="auto"/>
        <w:bottom w:val="none" w:sz="0" w:space="0" w:color="auto"/>
        <w:right w:val="none" w:sz="0" w:space="0" w:color="auto"/>
      </w:divBdr>
    </w:div>
    <w:div w:id="1894925788">
      <w:bodyDiv w:val="1"/>
      <w:marLeft w:val="0"/>
      <w:marRight w:val="0"/>
      <w:marTop w:val="0"/>
      <w:marBottom w:val="0"/>
      <w:divBdr>
        <w:top w:val="none" w:sz="0" w:space="0" w:color="auto"/>
        <w:left w:val="none" w:sz="0" w:space="0" w:color="auto"/>
        <w:bottom w:val="none" w:sz="0" w:space="0" w:color="auto"/>
        <w:right w:val="none" w:sz="0" w:space="0" w:color="auto"/>
      </w:divBdr>
    </w:div>
    <w:div w:id="1896046917">
      <w:bodyDiv w:val="1"/>
      <w:marLeft w:val="0"/>
      <w:marRight w:val="0"/>
      <w:marTop w:val="0"/>
      <w:marBottom w:val="0"/>
      <w:divBdr>
        <w:top w:val="none" w:sz="0" w:space="0" w:color="auto"/>
        <w:left w:val="none" w:sz="0" w:space="0" w:color="auto"/>
        <w:bottom w:val="none" w:sz="0" w:space="0" w:color="auto"/>
        <w:right w:val="none" w:sz="0" w:space="0" w:color="auto"/>
      </w:divBdr>
    </w:div>
    <w:div w:id="1902861646">
      <w:bodyDiv w:val="1"/>
      <w:marLeft w:val="0"/>
      <w:marRight w:val="0"/>
      <w:marTop w:val="0"/>
      <w:marBottom w:val="0"/>
      <w:divBdr>
        <w:top w:val="none" w:sz="0" w:space="0" w:color="auto"/>
        <w:left w:val="none" w:sz="0" w:space="0" w:color="auto"/>
        <w:bottom w:val="none" w:sz="0" w:space="0" w:color="auto"/>
        <w:right w:val="none" w:sz="0" w:space="0" w:color="auto"/>
      </w:divBdr>
    </w:div>
    <w:div w:id="1905600242">
      <w:bodyDiv w:val="1"/>
      <w:marLeft w:val="0"/>
      <w:marRight w:val="0"/>
      <w:marTop w:val="0"/>
      <w:marBottom w:val="0"/>
      <w:divBdr>
        <w:top w:val="none" w:sz="0" w:space="0" w:color="auto"/>
        <w:left w:val="none" w:sz="0" w:space="0" w:color="auto"/>
        <w:bottom w:val="none" w:sz="0" w:space="0" w:color="auto"/>
        <w:right w:val="none" w:sz="0" w:space="0" w:color="auto"/>
      </w:divBdr>
    </w:div>
    <w:div w:id="1908566604">
      <w:bodyDiv w:val="1"/>
      <w:marLeft w:val="0"/>
      <w:marRight w:val="0"/>
      <w:marTop w:val="0"/>
      <w:marBottom w:val="0"/>
      <w:divBdr>
        <w:top w:val="none" w:sz="0" w:space="0" w:color="auto"/>
        <w:left w:val="none" w:sz="0" w:space="0" w:color="auto"/>
        <w:bottom w:val="none" w:sz="0" w:space="0" w:color="auto"/>
        <w:right w:val="none" w:sz="0" w:space="0" w:color="auto"/>
      </w:divBdr>
    </w:div>
    <w:div w:id="1910921888">
      <w:bodyDiv w:val="1"/>
      <w:marLeft w:val="0"/>
      <w:marRight w:val="0"/>
      <w:marTop w:val="0"/>
      <w:marBottom w:val="0"/>
      <w:divBdr>
        <w:top w:val="none" w:sz="0" w:space="0" w:color="auto"/>
        <w:left w:val="none" w:sz="0" w:space="0" w:color="auto"/>
        <w:bottom w:val="none" w:sz="0" w:space="0" w:color="auto"/>
        <w:right w:val="none" w:sz="0" w:space="0" w:color="auto"/>
      </w:divBdr>
    </w:div>
    <w:div w:id="1929579322">
      <w:bodyDiv w:val="1"/>
      <w:marLeft w:val="0"/>
      <w:marRight w:val="0"/>
      <w:marTop w:val="0"/>
      <w:marBottom w:val="0"/>
      <w:divBdr>
        <w:top w:val="none" w:sz="0" w:space="0" w:color="auto"/>
        <w:left w:val="none" w:sz="0" w:space="0" w:color="auto"/>
        <w:bottom w:val="none" w:sz="0" w:space="0" w:color="auto"/>
        <w:right w:val="none" w:sz="0" w:space="0" w:color="auto"/>
      </w:divBdr>
    </w:div>
    <w:div w:id="1932621818">
      <w:bodyDiv w:val="1"/>
      <w:marLeft w:val="0"/>
      <w:marRight w:val="0"/>
      <w:marTop w:val="0"/>
      <w:marBottom w:val="0"/>
      <w:divBdr>
        <w:top w:val="none" w:sz="0" w:space="0" w:color="auto"/>
        <w:left w:val="none" w:sz="0" w:space="0" w:color="auto"/>
        <w:bottom w:val="none" w:sz="0" w:space="0" w:color="auto"/>
        <w:right w:val="none" w:sz="0" w:space="0" w:color="auto"/>
      </w:divBdr>
    </w:div>
    <w:div w:id="1932929855">
      <w:bodyDiv w:val="1"/>
      <w:marLeft w:val="0"/>
      <w:marRight w:val="0"/>
      <w:marTop w:val="0"/>
      <w:marBottom w:val="0"/>
      <w:divBdr>
        <w:top w:val="none" w:sz="0" w:space="0" w:color="auto"/>
        <w:left w:val="none" w:sz="0" w:space="0" w:color="auto"/>
        <w:bottom w:val="none" w:sz="0" w:space="0" w:color="auto"/>
        <w:right w:val="none" w:sz="0" w:space="0" w:color="auto"/>
      </w:divBdr>
    </w:div>
    <w:div w:id="1936667885">
      <w:bodyDiv w:val="1"/>
      <w:marLeft w:val="0"/>
      <w:marRight w:val="0"/>
      <w:marTop w:val="0"/>
      <w:marBottom w:val="0"/>
      <w:divBdr>
        <w:top w:val="none" w:sz="0" w:space="0" w:color="auto"/>
        <w:left w:val="none" w:sz="0" w:space="0" w:color="auto"/>
        <w:bottom w:val="none" w:sz="0" w:space="0" w:color="auto"/>
        <w:right w:val="none" w:sz="0" w:space="0" w:color="auto"/>
      </w:divBdr>
    </w:div>
    <w:div w:id="1937787023">
      <w:bodyDiv w:val="1"/>
      <w:marLeft w:val="0"/>
      <w:marRight w:val="0"/>
      <w:marTop w:val="0"/>
      <w:marBottom w:val="0"/>
      <w:divBdr>
        <w:top w:val="none" w:sz="0" w:space="0" w:color="auto"/>
        <w:left w:val="none" w:sz="0" w:space="0" w:color="auto"/>
        <w:bottom w:val="none" w:sz="0" w:space="0" w:color="auto"/>
        <w:right w:val="none" w:sz="0" w:space="0" w:color="auto"/>
      </w:divBdr>
    </w:div>
    <w:div w:id="1939167640">
      <w:bodyDiv w:val="1"/>
      <w:marLeft w:val="0"/>
      <w:marRight w:val="0"/>
      <w:marTop w:val="0"/>
      <w:marBottom w:val="0"/>
      <w:divBdr>
        <w:top w:val="none" w:sz="0" w:space="0" w:color="auto"/>
        <w:left w:val="none" w:sz="0" w:space="0" w:color="auto"/>
        <w:bottom w:val="none" w:sz="0" w:space="0" w:color="auto"/>
        <w:right w:val="none" w:sz="0" w:space="0" w:color="auto"/>
      </w:divBdr>
    </w:div>
    <w:div w:id="1943494198">
      <w:bodyDiv w:val="1"/>
      <w:marLeft w:val="0"/>
      <w:marRight w:val="0"/>
      <w:marTop w:val="0"/>
      <w:marBottom w:val="0"/>
      <w:divBdr>
        <w:top w:val="none" w:sz="0" w:space="0" w:color="auto"/>
        <w:left w:val="none" w:sz="0" w:space="0" w:color="auto"/>
        <w:bottom w:val="none" w:sz="0" w:space="0" w:color="auto"/>
        <w:right w:val="none" w:sz="0" w:space="0" w:color="auto"/>
      </w:divBdr>
    </w:div>
    <w:div w:id="1950425888">
      <w:bodyDiv w:val="1"/>
      <w:marLeft w:val="0"/>
      <w:marRight w:val="0"/>
      <w:marTop w:val="0"/>
      <w:marBottom w:val="0"/>
      <w:divBdr>
        <w:top w:val="none" w:sz="0" w:space="0" w:color="auto"/>
        <w:left w:val="none" w:sz="0" w:space="0" w:color="auto"/>
        <w:bottom w:val="none" w:sz="0" w:space="0" w:color="auto"/>
        <w:right w:val="none" w:sz="0" w:space="0" w:color="auto"/>
      </w:divBdr>
    </w:div>
    <w:div w:id="1952977347">
      <w:bodyDiv w:val="1"/>
      <w:marLeft w:val="0"/>
      <w:marRight w:val="0"/>
      <w:marTop w:val="0"/>
      <w:marBottom w:val="0"/>
      <w:divBdr>
        <w:top w:val="none" w:sz="0" w:space="0" w:color="auto"/>
        <w:left w:val="none" w:sz="0" w:space="0" w:color="auto"/>
        <w:bottom w:val="none" w:sz="0" w:space="0" w:color="auto"/>
        <w:right w:val="none" w:sz="0" w:space="0" w:color="auto"/>
      </w:divBdr>
    </w:div>
    <w:div w:id="1954051757">
      <w:bodyDiv w:val="1"/>
      <w:marLeft w:val="0"/>
      <w:marRight w:val="0"/>
      <w:marTop w:val="0"/>
      <w:marBottom w:val="0"/>
      <w:divBdr>
        <w:top w:val="none" w:sz="0" w:space="0" w:color="auto"/>
        <w:left w:val="none" w:sz="0" w:space="0" w:color="auto"/>
        <w:bottom w:val="none" w:sz="0" w:space="0" w:color="auto"/>
        <w:right w:val="none" w:sz="0" w:space="0" w:color="auto"/>
      </w:divBdr>
    </w:div>
    <w:div w:id="1955211499">
      <w:bodyDiv w:val="1"/>
      <w:marLeft w:val="0"/>
      <w:marRight w:val="0"/>
      <w:marTop w:val="0"/>
      <w:marBottom w:val="0"/>
      <w:divBdr>
        <w:top w:val="none" w:sz="0" w:space="0" w:color="auto"/>
        <w:left w:val="none" w:sz="0" w:space="0" w:color="auto"/>
        <w:bottom w:val="none" w:sz="0" w:space="0" w:color="auto"/>
        <w:right w:val="none" w:sz="0" w:space="0" w:color="auto"/>
      </w:divBdr>
    </w:div>
    <w:div w:id="1959070108">
      <w:bodyDiv w:val="1"/>
      <w:marLeft w:val="0"/>
      <w:marRight w:val="0"/>
      <w:marTop w:val="0"/>
      <w:marBottom w:val="0"/>
      <w:divBdr>
        <w:top w:val="none" w:sz="0" w:space="0" w:color="auto"/>
        <w:left w:val="none" w:sz="0" w:space="0" w:color="auto"/>
        <w:bottom w:val="none" w:sz="0" w:space="0" w:color="auto"/>
        <w:right w:val="none" w:sz="0" w:space="0" w:color="auto"/>
      </w:divBdr>
    </w:div>
    <w:div w:id="1972443386">
      <w:bodyDiv w:val="1"/>
      <w:marLeft w:val="0"/>
      <w:marRight w:val="0"/>
      <w:marTop w:val="0"/>
      <w:marBottom w:val="0"/>
      <w:divBdr>
        <w:top w:val="none" w:sz="0" w:space="0" w:color="auto"/>
        <w:left w:val="none" w:sz="0" w:space="0" w:color="auto"/>
        <w:bottom w:val="none" w:sz="0" w:space="0" w:color="auto"/>
        <w:right w:val="none" w:sz="0" w:space="0" w:color="auto"/>
      </w:divBdr>
    </w:div>
    <w:div w:id="1974865164">
      <w:bodyDiv w:val="1"/>
      <w:marLeft w:val="0"/>
      <w:marRight w:val="0"/>
      <w:marTop w:val="0"/>
      <w:marBottom w:val="0"/>
      <w:divBdr>
        <w:top w:val="none" w:sz="0" w:space="0" w:color="auto"/>
        <w:left w:val="none" w:sz="0" w:space="0" w:color="auto"/>
        <w:bottom w:val="none" w:sz="0" w:space="0" w:color="auto"/>
        <w:right w:val="none" w:sz="0" w:space="0" w:color="auto"/>
      </w:divBdr>
    </w:div>
    <w:div w:id="1985349089">
      <w:bodyDiv w:val="1"/>
      <w:marLeft w:val="0"/>
      <w:marRight w:val="0"/>
      <w:marTop w:val="0"/>
      <w:marBottom w:val="0"/>
      <w:divBdr>
        <w:top w:val="none" w:sz="0" w:space="0" w:color="auto"/>
        <w:left w:val="none" w:sz="0" w:space="0" w:color="auto"/>
        <w:bottom w:val="none" w:sz="0" w:space="0" w:color="auto"/>
        <w:right w:val="none" w:sz="0" w:space="0" w:color="auto"/>
      </w:divBdr>
    </w:div>
    <w:div w:id="1989942766">
      <w:bodyDiv w:val="1"/>
      <w:marLeft w:val="0"/>
      <w:marRight w:val="0"/>
      <w:marTop w:val="0"/>
      <w:marBottom w:val="0"/>
      <w:divBdr>
        <w:top w:val="none" w:sz="0" w:space="0" w:color="auto"/>
        <w:left w:val="none" w:sz="0" w:space="0" w:color="auto"/>
        <w:bottom w:val="none" w:sz="0" w:space="0" w:color="auto"/>
        <w:right w:val="none" w:sz="0" w:space="0" w:color="auto"/>
      </w:divBdr>
    </w:div>
    <w:div w:id="1993948007">
      <w:bodyDiv w:val="1"/>
      <w:marLeft w:val="0"/>
      <w:marRight w:val="0"/>
      <w:marTop w:val="0"/>
      <w:marBottom w:val="0"/>
      <w:divBdr>
        <w:top w:val="none" w:sz="0" w:space="0" w:color="auto"/>
        <w:left w:val="none" w:sz="0" w:space="0" w:color="auto"/>
        <w:bottom w:val="none" w:sz="0" w:space="0" w:color="auto"/>
        <w:right w:val="none" w:sz="0" w:space="0" w:color="auto"/>
      </w:divBdr>
    </w:div>
    <w:div w:id="2000501989">
      <w:bodyDiv w:val="1"/>
      <w:marLeft w:val="0"/>
      <w:marRight w:val="0"/>
      <w:marTop w:val="0"/>
      <w:marBottom w:val="0"/>
      <w:divBdr>
        <w:top w:val="none" w:sz="0" w:space="0" w:color="auto"/>
        <w:left w:val="none" w:sz="0" w:space="0" w:color="auto"/>
        <w:bottom w:val="none" w:sz="0" w:space="0" w:color="auto"/>
        <w:right w:val="none" w:sz="0" w:space="0" w:color="auto"/>
      </w:divBdr>
    </w:div>
    <w:div w:id="2005693923">
      <w:bodyDiv w:val="1"/>
      <w:marLeft w:val="0"/>
      <w:marRight w:val="0"/>
      <w:marTop w:val="0"/>
      <w:marBottom w:val="0"/>
      <w:divBdr>
        <w:top w:val="none" w:sz="0" w:space="0" w:color="auto"/>
        <w:left w:val="none" w:sz="0" w:space="0" w:color="auto"/>
        <w:bottom w:val="none" w:sz="0" w:space="0" w:color="auto"/>
        <w:right w:val="none" w:sz="0" w:space="0" w:color="auto"/>
      </w:divBdr>
    </w:div>
    <w:div w:id="2016613446">
      <w:bodyDiv w:val="1"/>
      <w:marLeft w:val="0"/>
      <w:marRight w:val="0"/>
      <w:marTop w:val="0"/>
      <w:marBottom w:val="0"/>
      <w:divBdr>
        <w:top w:val="none" w:sz="0" w:space="0" w:color="auto"/>
        <w:left w:val="none" w:sz="0" w:space="0" w:color="auto"/>
        <w:bottom w:val="none" w:sz="0" w:space="0" w:color="auto"/>
        <w:right w:val="none" w:sz="0" w:space="0" w:color="auto"/>
      </w:divBdr>
    </w:div>
    <w:div w:id="2019502573">
      <w:bodyDiv w:val="1"/>
      <w:marLeft w:val="0"/>
      <w:marRight w:val="0"/>
      <w:marTop w:val="0"/>
      <w:marBottom w:val="0"/>
      <w:divBdr>
        <w:top w:val="none" w:sz="0" w:space="0" w:color="auto"/>
        <w:left w:val="none" w:sz="0" w:space="0" w:color="auto"/>
        <w:bottom w:val="none" w:sz="0" w:space="0" w:color="auto"/>
        <w:right w:val="none" w:sz="0" w:space="0" w:color="auto"/>
      </w:divBdr>
    </w:div>
    <w:div w:id="2021540074">
      <w:bodyDiv w:val="1"/>
      <w:marLeft w:val="0"/>
      <w:marRight w:val="0"/>
      <w:marTop w:val="0"/>
      <w:marBottom w:val="0"/>
      <w:divBdr>
        <w:top w:val="none" w:sz="0" w:space="0" w:color="auto"/>
        <w:left w:val="none" w:sz="0" w:space="0" w:color="auto"/>
        <w:bottom w:val="none" w:sz="0" w:space="0" w:color="auto"/>
        <w:right w:val="none" w:sz="0" w:space="0" w:color="auto"/>
      </w:divBdr>
    </w:div>
    <w:div w:id="2025863311">
      <w:bodyDiv w:val="1"/>
      <w:marLeft w:val="0"/>
      <w:marRight w:val="0"/>
      <w:marTop w:val="0"/>
      <w:marBottom w:val="0"/>
      <w:divBdr>
        <w:top w:val="none" w:sz="0" w:space="0" w:color="auto"/>
        <w:left w:val="none" w:sz="0" w:space="0" w:color="auto"/>
        <w:bottom w:val="none" w:sz="0" w:space="0" w:color="auto"/>
        <w:right w:val="none" w:sz="0" w:space="0" w:color="auto"/>
      </w:divBdr>
    </w:div>
    <w:div w:id="2026861927">
      <w:bodyDiv w:val="1"/>
      <w:marLeft w:val="0"/>
      <w:marRight w:val="0"/>
      <w:marTop w:val="0"/>
      <w:marBottom w:val="0"/>
      <w:divBdr>
        <w:top w:val="none" w:sz="0" w:space="0" w:color="auto"/>
        <w:left w:val="none" w:sz="0" w:space="0" w:color="auto"/>
        <w:bottom w:val="none" w:sz="0" w:space="0" w:color="auto"/>
        <w:right w:val="none" w:sz="0" w:space="0" w:color="auto"/>
      </w:divBdr>
    </w:div>
    <w:div w:id="2028410084">
      <w:bodyDiv w:val="1"/>
      <w:marLeft w:val="0"/>
      <w:marRight w:val="0"/>
      <w:marTop w:val="0"/>
      <w:marBottom w:val="0"/>
      <w:divBdr>
        <w:top w:val="none" w:sz="0" w:space="0" w:color="auto"/>
        <w:left w:val="none" w:sz="0" w:space="0" w:color="auto"/>
        <w:bottom w:val="none" w:sz="0" w:space="0" w:color="auto"/>
        <w:right w:val="none" w:sz="0" w:space="0" w:color="auto"/>
      </w:divBdr>
    </w:div>
    <w:div w:id="2033530977">
      <w:bodyDiv w:val="1"/>
      <w:marLeft w:val="0"/>
      <w:marRight w:val="0"/>
      <w:marTop w:val="0"/>
      <w:marBottom w:val="0"/>
      <w:divBdr>
        <w:top w:val="none" w:sz="0" w:space="0" w:color="auto"/>
        <w:left w:val="none" w:sz="0" w:space="0" w:color="auto"/>
        <w:bottom w:val="none" w:sz="0" w:space="0" w:color="auto"/>
        <w:right w:val="none" w:sz="0" w:space="0" w:color="auto"/>
      </w:divBdr>
    </w:div>
    <w:div w:id="2039357702">
      <w:bodyDiv w:val="1"/>
      <w:marLeft w:val="0"/>
      <w:marRight w:val="0"/>
      <w:marTop w:val="0"/>
      <w:marBottom w:val="0"/>
      <w:divBdr>
        <w:top w:val="none" w:sz="0" w:space="0" w:color="auto"/>
        <w:left w:val="none" w:sz="0" w:space="0" w:color="auto"/>
        <w:bottom w:val="none" w:sz="0" w:space="0" w:color="auto"/>
        <w:right w:val="none" w:sz="0" w:space="0" w:color="auto"/>
      </w:divBdr>
    </w:div>
    <w:div w:id="2040936246">
      <w:bodyDiv w:val="1"/>
      <w:marLeft w:val="0"/>
      <w:marRight w:val="0"/>
      <w:marTop w:val="0"/>
      <w:marBottom w:val="0"/>
      <w:divBdr>
        <w:top w:val="none" w:sz="0" w:space="0" w:color="auto"/>
        <w:left w:val="none" w:sz="0" w:space="0" w:color="auto"/>
        <w:bottom w:val="none" w:sz="0" w:space="0" w:color="auto"/>
        <w:right w:val="none" w:sz="0" w:space="0" w:color="auto"/>
      </w:divBdr>
    </w:div>
    <w:div w:id="2044547827">
      <w:bodyDiv w:val="1"/>
      <w:marLeft w:val="0"/>
      <w:marRight w:val="0"/>
      <w:marTop w:val="0"/>
      <w:marBottom w:val="0"/>
      <w:divBdr>
        <w:top w:val="none" w:sz="0" w:space="0" w:color="auto"/>
        <w:left w:val="none" w:sz="0" w:space="0" w:color="auto"/>
        <w:bottom w:val="none" w:sz="0" w:space="0" w:color="auto"/>
        <w:right w:val="none" w:sz="0" w:space="0" w:color="auto"/>
      </w:divBdr>
    </w:div>
    <w:div w:id="2048949016">
      <w:bodyDiv w:val="1"/>
      <w:marLeft w:val="0"/>
      <w:marRight w:val="0"/>
      <w:marTop w:val="0"/>
      <w:marBottom w:val="0"/>
      <w:divBdr>
        <w:top w:val="none" w:sz="0" w:space="0" w:color="auto"/>
        <w:left w:val="none" w:sz="0" w:space="0" w:color="auto"/>
        <w:bottom w:val="none" w:sz="0" w:space="0" w:color="auto"/>
        <w:right w:val="none" w:sz="0" w:space="0" w:color="auto"/>
      </w:divBdr>
    </w:div>
    <w:div w:id="2049530100">
      <w:bodyDiv w:val="1"/>
      <w:marLeft w:val="0"/>
      <w:marRight w:val="0"/>
      <w:marTop w:val="0"/>
      <w:marBottom w:val="0"/>
      <w:divBdr>
        <w:top w:val="none" w:sz="0" w:space="0" w:color="auto"/>
        <w:left w:val="none" w:sz="0" w:space="0" w:color="auto"/>
        <w:bottom w:val="none" w:sz="0" w:space="0" w:color="auto"/>
        <w:right w:val="none" w:sz="0" w:space="0" w:color="auto"/>
      </w:divBdr>
    </w:div>
    <w:div w:id="2050490676">
      <w:bodyDiv w:val="1"/>
      <w:marLeft w:val="0"/>
      <w:marRight w:val="0"/>
      <w:marTop w:val="0"/>
      <w:marBottom w:val="0"/>
      <w:divBdr>
        <w:top w:val="none" w:sz="0" w:space="0" w:color="auto"/>
        <w:left w:val="none" w:sz="0" w:space="0" w:color="auto"/>
        <w:bottom w:val="none" w:sz="0" w:space="0" w:color="auto"/>
        <w:right w:val="none" w:sz="0" w:space="0" w:color="auto"/>
      </w:divBdr>
    </w:div>
    <w:div w:id="2052142952">
      <w:bodyDiv w:val="1"/>
      <w:marLeft w:val="0"/>
      <w:marRight w:val="0"/>
      <w:marTop w:val="0"/>
      <w:marBottom w:val="0"/>
      <w:divBdr>
        <w:top w:val="none" w:sz="0" w:space="0" w:color="auto"/>
        <w:left w:val="none" w:sz="0" w:space="0" w:color="auto"/>
        <w:bottom w:val="none" w:sz="0" w:space="0" w:color="auto"/>
        <w:right w:val="none" w:sz="0" w:space="0" w:color="auto"/>
      </w:divBdr>
    </w:div>
    <w:div w:id="2053337171">
      <w:bodyDiv w:val="1"/>
      <w:marLeft w:val="0"/>
      <w:marRight w:val="0"/>
      <w:marTop w:val="0"/>
      <w:marBottom w:val="0"/>
      <w:divBdr>
        <w:top w:val="none" w:sz="0" w:space="0" w:color="auto"/>
        <w:left w:val="none" w:sz="0" w:space="0" w:color="auto"/>
        <w:bottom w:val="none" w:sz="0" w:space="0" w:color="auto"/>
        <w:right w:val="none" w:sz="0" w:space="0" w:color="auto"/>
      </w:divBdr>
    </w:div>
    <w:div w:id="2055109674">
      <w:bodyDiv w:val="1"/>
      <w:marLeft w:val="0"/>
      <w:marRight w:val="0"/>
      <w:marTop w:val="0"/>
      <w:marBottom w:val="0"/>
      <w:divBdr>
        <w:top w:val="none" w:sz="0" w:space="0" w:color="auto"/>
        <w:left w:val="none" w:sz="0" w:space="0" w:color="auto"/>
        <w:bottom w:val="none" w:sz="0" w:space="0" w:color="auto"/>
        <w:right w:val="none" w:sz="0" w:space="0" w:color="auto"/>
      </w:divBdr>
    </w:div>
    <w:div w:id="2070181206">
      <w:bodyDiv w:val="1"/>
      <w:marLeft w:val="0"/>
      <w:marRight w:val="0"/>
      <w:marTop w:val="0"/>
      <w:marBottom w:val="0"/>
      <w:divBdr>
        <w:top w:val="none" w:sz="0" w:space="0" w:color="auto"/>
        <w:left w:val="none" w:sz="0" w:space="0" w:color="auto"/>
        <w:bottom w:val="none" w:sz="0" w:space="0" w:color="auto"/>
        <w:right w:val="none" w:sz="0" w:space="0" w:color="auto"/>
      </w:divBdr>
    </w:div>
    <w:div w:id="2074616653">
      <w:bodyDiv w:val="1"/>
      <w:marLeft w:val="0"/>
      <w:marRight w:val="0"/>
      <w:marTop w:val="0"/>
      <w:marBottom w:val="0"/>
      <w:divBdr>
        <w:top w:val="none" w:sz="0" w:space="0" w:color="auto"/>
        <w:left w:val="none" w:sz="0" w:space="0" w:color="auto"/>
        <w:bottom w:val="none" w:sz="0" w:space="0" w:color="auto"/>
        <w:right w:val="none" w:sz="0" w:space="0" w:color="auto"/>
      </w:divBdr>
    </w:div>
    <w:div w:id="2075809411">
      <w:bodyDiv w:val="1"/>
      <w:marLeft w:val="0"/>
      <w:marRight w:val="0"/>
      <w:marTop w:val="0"/>
      <w:marBottom w:val="0"/>
      <w:divBdr>
        <w:top w:val="none" w:sz="0" w:space="0" w:color="auto"/>
        <w:left w:val="none" w:sz="0" w:space="0" w:color="auto"/>
        <w:bottom w:val="none" w:sz="0" w:space="0" w:color="auto"/>
        <w:right w:val="none" w:sz="0" w:space="0" w:color="auto"/>
      </w:divBdr>
    </w:div>
    <w:div w:id="2076269885">
      <w:bodyDiv w:val="1"/>
      <w:marLeft w:val="0"/>
      <w:marRight w:val="0"/>
      <w:marTop w:val="0"/>
      <w:marBottom w:val="0"/>
      <w:divBdr>
        <w:top w:val="none" w:sz="0" w:space="0" w:color="auto"/>
        <w:left w:val="none" w:sz="0" w:space="0" w:color="auto"/>
        <w:bottom w:val="none" w:sz="0" w:space="0" w:color="auto"/>
        <w:right w:val="none" w:sz="0" w:space="0" w:color="auto"/>
      </w:divBdr>
    </w:div>
    <w:div w:id="2081827696">
      <w:bodyDiv w:val="1"/>
      <w:marLeft w:val="0"/>
      <w:marRight w:val="0"/>
      <w:marTop w:val="0"/>
      <w:marBottom w:val="0"/>
      <w:divBdr>
        <w:top w:val="none" w:sz="0" w:space="0" w:color="auto"/>
        <w:left w:val="none" w:sz="0" w:space="0" w:color="auto"/>
        <w:bottom w:val="none" w:sz="0" w:space="0" w:color="auto"/>
        <w:right w:val="none" w:sz="0" w:space="0" w:color="auto"/>
      </w:divBdr>
    </w:div>
    <w:div w:id="2082873115">
      <w:bodyDiv w:val="1"/>
      <w:marLeft w:val="0"/>
      <w:marRight w:val="0"/>
      <w:marTop w:val="0"/>
      <w:marBottom w:val="0"/>
      <w:divBdr>
        <w:top w:val="none" w:sz="0" w:space="0" w:color="auto"/>
        <w:left w:val="none" w:sz="0" w:space="0" w:color="auto"/>
        <w:bottom w:val="none" w:sz="0" w:space="0" w:color="auto"/>
        <w:right w:val="none" w:sz="0" w:space="0" w:color="auto"/>
      </w:divBdr>
    </w:div>
    <w:div w:id="2083598804">
      <w:bodyDiv w:val="1"/>
      <w:marLeft w:val="0"/>
      <w:marRight w:val="0"/>
      <w:marTop w:val="0"/>
      <w:marBottom w:val="0"/>
      <w:divBdr>
        <w:top w:val="none" w:sz="0" w:space="0" w:color="auto"/>
        <w:left w:val="none" w:sz="0" w:space="0" w:color="auto"/>
        <w:bottom w:val="none" w:sz="0" w:space="0" w:color="auto"/>
        <w:right w:val="none" w:sz="0" w:space="0" w:color="auto"/>
      </w:divBdr>
    </w:div>
    <w:div w:id="2087922184">
      <w:bodyDiv w:val="1"/>
      <w:marLeft w:val="0"/>
      <w:marRight w:val="0"/>
      <w:marTop w:val="0"/>
      <w:marBottom w:val="0"/>
      <w:divBdr>
        <w:top w:val="none" w:sz="0" w:space="0" w:color="auto"/>
        <w:left w:val="none" w:sz="0" w:space="0" w:color="auto"/>
        <w:bottom w:val="none" w:sz="0" w:space="0" w:color="auto"/>
        <w:right w:val="none" w:sz="0" w:space="0" w:color="auto"/>
      </w:divBdr>
    </w:div>
    <w:div w:id="2091922628">
      <w:bodyDiv w:val="1"/>
      <w:marLeft w:val="0"/>
      <w:marRight w:val="0"/>
      <w:marTop w:val="0"/>
      <w:marBottom w:val="0"/>
      <w:divBdr>
        <w:top w:val="none" w:sz="0" w:space="0" w:color="auto"/>
        <w:left w:val="none" w:sz="0" w:space="0" w:color="auto"/>
        <w:bottom w:val="none" w:sz="0" w:space="0" w:color="auto"/>
        <w:right w:val="none" w:sz="0" w:space="0" w:color="auto"/>
      </w:divBdr>
    </w:div>
    <w:div w:id="2092778414">
      <w:bodyDiv w:val="1"/>
      <w:marLeft w:val="0"/>
      <w:marRight w:val="0"/>
      <w:marTop w:val="0"/>
      <w:marBottom w:val="0"/>
      <w:divBdr>
        <w:top w:val="none" w:sz="0" w:space="0" w:color="auto"/>
        <w:left w:val="none" w:sz="0" w:space="0" w:color="auto"/>
        <w:bottom w:val="none" w:sz="0" w:space="0" w:color="auto"/>
        <w:right w:val="none" w:sz="0" w:space="0" w:color="auto"/>
      </w:divBdr>
    </w:div>
    <w:div w:id="2093089108">
      <w:bodyDiv w:val="1"/>
      <w:marLeft w:val="0"/>
      <w:marRight w:val="0"/>
      <w:marTop w:val="0"/>
      <w:marBottom w:val="0"/>
      <w:divBdr>
        <w:top w:val="none" w:sz="0" w:space="0" w:color="auto"/>
        <w:left w:val="none" w:sz="0" w:space="0" w:color="auto"/>
        <w:bottom w:val="none" w:sz="0" w:space="0" w:color="auto"/>
        <w:right w:val="none" w:sz="0" w:space="0" w:color="auto"/>
      </w:divBdr>
    </w:div>
    <w:div w:id="2102791808">
      <w:bodyDiv w:val="1"/>
      <w:marLeft w:val="0"/>
      <w:marRight w:val="0"/>
      <w:marTop w:val="0"/>
      <w:marBottom w:val="0"/>
      <w:divBdr>
        <w:top w:val="none" w:sz="0" w:space="0" w:color="auto"/>
        <w:left w:val="none" w:sz="0" w:space="0" w:color="auto"/>
        <w:bottom w:val="none" w:sz="0" w:space="0" w:color="auto"/>
        <w:right w:val="none" w:sz="0" w:space="0" w:color="auto"/>
      </w:divBdr>
    </w:div>
    <w:div w:id="2117095300">
      <w:bodyDiv w:val="1"/>
      <w:marLeft w:val="0"/>
      <w:marRight w:val="0"/>
      <w:marTop w:val="0"/>
      <w:marBottom w:val="0"/>
      <w:divBdr>
        <w:top w:val="none" w:sz="0" w:space="0" w:color="auto"/>
        <w:left w:val="none" w:sz="0" w:space="0" w:color="auto"/>
        <w:bottom w:val="none" w:sz="0" w:space="0" w:color="auto"/>
        <w:right w:val="none" w:sz="0" w:space="0" w:color="auto"/>
      </w:divBdr>
    </w:div>
    <w:div w:id="2124690875">
      <w:bodyDiv w:val="1"/>
      <w:marLeft w:val="0"/>
      <w:marRight w:val="0"/>
      <w:marTop w:val="0"/>
      <w:marBottom w:val="0"/>
      <w:divBdr>
        <w:top w:val="none" w:sz="0" w:space="0" w:color="auto"/>
        <w:left w:val="none" w:sz="0" w:space="0" w:color="auto"/>
        <w:bottom w:val="none" w:sz="0" w:space="0" w:color="auto"/>
        <w:right w:val="none" w:sz="0" w:space="0" w:color="auto"/>
      </w:divBdr>
    </w:div>
    <w:div w:id="2129859437">
      <w:bodyDiv w:val="1"/>
      <w:marLeft w:val="0"/>
      <w:marRight w:val="0"/>
      <w:marTop w:val="0"/>
      <w:marBottom w:val="0"/>
      <w:divBdr>
        <w:top w:val="none" w:sz="0" w:space="0" w:color="auto"/>
        <w:left w:val="none" w:sz="0" w:space="0" w:color="auto"/>
        <w:bottom w:val="none" w:sz="0" w:space="0" w:color="auto"/>
        <w:right w:val="none" w:sz="0" w:space="0" w:color="auto"/>
      </w:divBdr>
    </w:div>
    <w:div w:id="2130856961">
      <w:bodyDiv w:val="1"/>
      <w:marLeft w:val="0"/>
      <w:marRight w:val="0"/>
      <w:marTop w:val="0"/>
      <w:marBottom w:val="0"/>
      <w:divBdr>
        <w:top w:val="none" w:sz="0" w:space="0" w:color="auto"/>
        <w:left w:val="none" w:sz="0" w:space="0" w:color="auto"/>
        <w:bottom w:val="none" w:sz="0" w:space="0" w:color="auto"/>
        <w:right w:val="none" w:sz="0" w:space="0" w:color="auto"/>
      </w:divBdr>
    </w:div>
    <w:div w:id="2134710244">
      <w:bodyDiv w:val="1"/>
      <w:marLeft w:val="0"/>
      <w:marRight w:val="0"/>
      <w:marTop w:val="0"/>
      <w:marBottom w:val="0"/>
      <w:divBdr>
        <w:top w:val="none" w:sz="0" w:space="0" w:color="auto"/>
        <w:left w:val="none" w:sz="0" w:space="0" w:color="auto"/>
        <w:bottom w:val="none" w:sz="0" w:space="0" w:color="auto"/>
        <w:right w:val="none" w:sz="0" w:space="0" w:color="auto"/>
      </w:divBdr>
    </w:div>
    <w:div w:id="2137405829">
      <w:bodyDiv w:val="1"/>
      <w:marLeft w:val="0"/>
      <w:marRight w:val="0"/>
      <w:marTop w:val="0"/>
      <w:marBottom w:val="0"/>
      <w:divBdr>
        <w:top w:val="none" w:sz="0" w:space="0" w:color="auto"/>
        <w:left w:val="none" w:sz="0" w:space="0" w:color="auto"/>
        <w:bottom w:val="none" w:sz="0" w:space="0" w:color="auto"/>
        <w:right w:val="none" w:sz="0" w:space="0" w:color="auto"/>
      </w:divBdr>
    </w:div>
    <w:div w:id="2137675452">
      <w:bodyDiv w:val="1"/>
      <w:marLeft w:val="0"/>
      <w:marRight w:val="0"/>
      <w:marTop w:val="0"/>
      <w:marBottom w:val="0"/>
      <w:divBdr>
        <w:top w:val="none" w:sz="0" w:space="0" w:color="auto"/>
        <w:left w:val="none" w:sz="0" w:space="0" w:color="auto"/>
        <w:bottom w:val="none" w:sz="0" w:space="0" w:color="auto"/>
        <w:right w:val="none" w:sz="0" w:space="0" w:color="auto"/>
      </w:divBdr>
    </w:div>
    <w:div w:id="2138330239">
      <w:bodyDiv w:val="1"/>
      <w:marLeft w:val="0"/>
      <w:marRight w:val="0"/>
      <w:marTop w:val="0"/>
      <w:marBottom w:val="0"/>
      <w:divBdr>
        <w:top w:val="none" w:sz="0" w:space="0" w:color="auto"/>
        <w:left w:val="none" w:sz="0" w:space="0" w:color="auto"/>
        <w:bottom w:val="none" w:sz="0" w:space="0" w:color="auto"/>
        <w:right w:val="none" w:sz="0" w:space="0" w:color="auto"/>
      </w:divBdr>
    </w:div>
    <w:div w:id="2141873558">
      <w:bodyDiv w:val="1"/>
      <w:marLeft w:val="0"/>
      <w:marRight w:val="0"/>
      <w:marTop w:val="0"/>
      <w:marBottom w:val="0"/>
      <w:divBdr>
        <w:top w:val="none" w:sz="0" w:space="0" w:color="auto"/>
        <w:left w:val="none" w:sz="0" w:space="0" w:color="auto"/>
        <w:bottom w:val="none" w:sz="0" w:space="0" w:color="auto"/>
        <w:right w:val="none" w:sz="0" w:space="0" w:color="auto"/>
      </w:divBdr>
    </w:div>
    <w:div w:id="21419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npa.gov.it%2F&amp;data=04%7C01%7Calfredo.storto%40mef.gov.it%7C49880eebce534b7a995a08d9a08b986d%7Ca7cc9c7eb24743fdac8a83d8fe99ac09%7C0%7C0%7C637717343673279883%7CUnknown%7CTWFpbGZsb3d8eyJWIjoiMC4wLjAwMDAiLCJQIjoiV2luMzIiLCJBTiI6Ik1haWwiLCJXVCI6Mn0%3D%7C1000&amp;sdata=HkMmVi5zuDIbkJjFzDt9uUX8rLhg74C5ZJTK35JHCQw%3D&amp;reserved=0" TargetMode="External"/><Relationship Id="rId13" Type="http://schemas.openxmlformats.org/officeDocument/2006/relationships/hyperlink" Target="https://eur02.safelinks.protection.outlook.com/?url=https%3A%2F%2Fpa.leggiditalia.it%2F%23id%3D10LX0000878596ART0%2C__m%3Ddocument&amp;data=04%7C01%7Cmassimo.zeppieri%40mef.gov.it%7C249f1094ab944eef548108d99a0b9666%7Ca7cc9c7eb24743fdac8a83d8fe99ac09%7C0%7C0%7C637710196826220585%7CUnknown%7CTWFpbGZsb3d8eyJWIjoiMC4wLjAwMDAiLCJQIjoiV2luMzIiLCJBTiI6Ik1haWwiLCJXVCI6Mn0%3D%7C1000&amp;sdata=%2FWvlIz%2FQnRDMeIeZTtbYLaw0J1fm6nrGm80wUUaKKFs%3D&amp;reserved=0" TargetMode="External"/><Relationship Id="rId18" Type="http://schemas.openxmlformats.org/officeDocument/2006/relationships/hyperlink" Target="https://eur02.safelinks.protection.outlook.com/?url=http%3A%2F%2Fdemo.istat.it%2Fbil%2Findex.php%3Fanno%3D2019%26lingua%3Dita&amp;data=04%7C01%7Celisa.quadraccia%40mef.gov.it%7C26186d26ffd84f46dcd208d99f727993%7Ca7cc9c7eb24743fdac8a83d8fe99ac09%7C0%7C0%7C637716136277787360%7CUnknown%7CTWFpbGZsb3d8eyJWIjoiMC4wLjAwMDAiLCJQIjoiV2luMzIiLCJBTiI6Ik1haWwiLCJXVCI6Mn0%3D%7C1000&amp;sdata=RnZcfaui1xlM30nUzUshjGQ6htFhqor08rGvp3BuFVY%3D&amp;reserved=0" TargetMode="External"/><Relationship Id="rId26" Type="http://schemas.openxmlformats.org/officeDocument/2006/relationships/hyperlink" Target="https://pa.leggiditalia.i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r02.safelinks.protection.outlook.com/?url=https%3A%2F%2Fentilocali.leggiditalia.it%2F%23id%3D10LX0000783063ART0%2C__m%3Ddocument&amp;data=04%7C01%7Celisa.quadraccia%40mef.gov.it%7C26186d26ffd84f46dcd208d99f727993%7Ca7cc9c7eb24743fdac8a83d8fe99ac09%7C0%7C0%7C637716136277797315%7CUnknown%7CTWFpbGZsb3d8eyJWIjoiMC4wLjAwMDAiLCJQIjoiV2luMzIiLCJBTiI6Ik1haWwiLCJXVCI6Mn0%3D%7C1000&amp;sdata=hoVOE15WOUnJhw0crI%2F0%2BkL5IvUy9fE9mga40BL0aEw%3D&amp;reserved=0" TargetMode="Externa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eur02.safelinks.protection.outlook.com/?url=https%3A%2F%2Fpa.leggiditalia.it%2F%23id%3D10LX0000876095ART29%2C__m%3Ddocument&amp;data=04%7C01%7Cmassimo.zeppieri%40mef.gov.it%7C249f1094ab944eef548108d99a0b9666%7Ca7cc9c7eb24743fdac8a83d8fe99ac09%7C0%7C0%7C637710196826210603%7CUnknown%7CTWFpbGZsb3d8eyJWIjoiMC4wLjAwMDAiLCJQIjoiV2luMzIiLCJBTiI6Ik1haWwiLCJXVCI6Mn0%3D%7C1000&amp;sdata=EEOMTVOgKgpyqEQIaA%2FtPEBo4zgsy94Qv%2FMgU73qx4w%3D&amp;reserved=0" TargetMode="External"/><Relationship Id="rId17" Type="http://schemas.openxmlformats.org/officeDocument/2006/relationships/hyperlink" Target="https://eur02.safelinks.protection.outlook.com/?url=https%3A%2F%2Fpa.leggiditalia.it%2F%23id%3D10LX0000878596ART0%2C__m%3Ddocument&amp;data=04%7C01%7Cmassimo.zeppieri%40mef.gov.it%7C169017dd7e4e4ceed42c08d99deb13ad%7Ca7cc9c7eb24743fdac8a83d8fe99ac09%7C0%7C0%7C637714455228530215%7CUnknown%7CTWFpbGZsb3d8eyJWIjoiMC4wLjAwMDAiLCJQIjoiV2luMzIiLCJBTiI6Ik1haWwiLCJXVCI6Mn0%3D%7C1000&amp;sdata=rLngzvIU8lYPYUqRqIQmr8NjkFB%2B5UPovsXfEbBPuRg%3D&amp;reserved=0" TargetMode="External"/><Relationship Id="rId25" Type="http://schemas.openxmlformats.org/officeDocument/2006/relationships/hyperlink" Target="https://pa.leggiditalia.it/" TargetMode="External"/><Relationship Id="rId33" Type="http://schemas.openxmlformats.org/officeDocument/2006/relationships/image" Target="media/image2.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02.safelinks.protection.outlook.com/?url=https%3A%2F%2Fpa.leggiditalia.it%2F%23id%3D10LX0000876095ART29%2C__m%3Ddocument&amp;data=04%7C01%7Cmassimo.zeppieri%40mef.gov.it%7C169017dd7e4e4ceed42c08d99deb13ad%7Ca7cc9c7eb24743fdac8a83d8fe99ac09%7C0%7C0%7C637714455228520218%7CUnknown%7CTWFpbGZsb3d8eyJWIjoiMC4wLjAwMDAiLCJQIjoiV2luMzIiLCJBTiI6Ik1haWwiLCJXVCI6Mn0%3D%7C1000&amp;sdata=VzDA3QI%2FikmUEJjRMDbo4NZKL34iDaOiU6Ni1v5FhC4%3D&amp;reserved=0" TargetMode="External"/><Relationship Id="rId20" Type="http://schemas.openxmlformats.org/officeDocument/2006/relationships/hyperlink" Target="https://eur02.safelinks.protection.outlook.com/?url=https%3A%2F%2Fentilocali.leggiditalia.it%2F%23id%3D10LX0000764286ART0%2C__m%3Ddocument&amp;data=04%7C01%7Celisa.quadraccia%40mef.gov.it%7C26186d26ffd84f46dcd208d99f727993%7Ca7cc9c7eb24743fdac8a83d8fe99ac09%7C0%7C0%7C637716136277797315%7CUnknown%7CTWFpbGZsb3d8eyJWIjoiMC4wLjAwMDAiLCJQIjoiV2luMzIiLCJBTiI6Ik1haWwiLCJXVCI6Mn0%3D%7C1000&amp;sdata=EY5u%2B3pbEZtQJt2rHyDPV6uAn2w4owNbiTcsNYINkQo%3D&amp;reserved=0" TargetMode="External"/><Relationship Id="rId29" Type="http://schemas.openxmlformats.org/officeDocument/2006/relationships/hyperlink" Target="https://eur02.safelinks.protection.outlook.com/?url=http%3A%2F%2Fwww.normattiva.it%2Furi-res%2FN2Ls%3Furn%3Anir%3Astato%3Adecreto.legislativo%3A2001-03-30%3B165%23art3-com2&amp;data=04%7C01%7Celisa.quadraccia%40mef.gov.it%7Cfb24af46a63a438a177208d9961a7f83%7Ca7cc9c7eb24743fdac8a83d8fe99ac09%7C0%7C0%7C637705862814780171%7CUnknown%7CTWFpbGZsb3d8eyJWIjoiMC4wLjAwMDAiLCJQIjoiV2luMzIiLCJBTiI6Ik1haWwiLCJXVCI6Mn0%3D%7C1000&amp;sdata=rwPAvLGAJTzMRVFWbgoO5YvgtjSOJGPL%2FH0qSJ5oMBM%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leggiditalia.it/" TargetMode="External"/><Relationship Id="rId24" Type="http://schemas.openxmlformats.org/officeDocument/2006/relationships/hyperlink" Target="http://demo.istat.it/bil/index.php?anno=2019&amp;lingua=ita" TargetMode="External"/><Relationship Id="rId32" Type="http://schemas.openxmlformats.org/officeDocument/2006/relationships/image" Target="media/image1.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02.safelinks.protection.outlook.com/?url=http%3A%2F%2Fbd01.leggiditalia.it%2Fcgi-bin%2FFulShow%3FTIPO%3D5%26NOTXT%3D1%26KEY%3D01LX0000891283ART0&amp;data=04%7C01%7Cmassimo.zeppieri%40mef.gov.it%7C249f1094ab944eef548108d99a0b9666%7Ca7cc9c7eb24743fdac8a83d8fe99ac09%7C0%7C0%7C637710196826230577%7CUnknown%7CTWFpbGZsb3d8eyJWIjoiMC4wLjAwMDAiLCJQIjoiV2luMzIiLCJBTiI6Ik1haWwiLCJXVCI6Mn0%3D%7C1000&amp;sdata=%2BfVz6DfJydiYp4hh25UIAHRitGFjqPY8w3g4o8ywXLo%3D&amp;reserved=0" TargetMode="External"/><Relationship Id="rId23" Type="http://schemas.openxmlformats.org/officeDocument/2006/relationships/hyperlink" Target="https://eur02.safelinks.protection.outlook.com/?url=http%3A%2F%2Fwww.entilocali.leggiditalia.it%2F%23id%3D10LX0000121858ART0%2C__m%3Ddocument&amp;data=04%7C01%7Celisa.quadraccia%40mef.gov.it%7C26186d26ffd84f46dcd208d99f727993%7Ca7cc9c7eb24743fdac8a83d8fe99ac09%7C0%7C0%7C637716136277827180%7CUnknown%7CTWFpbGZsb3d8eyJWIjoiMC4wLjAwMDAiLCJQIjoiV2luMzIiLCJBTiI6Ik1haWwiLCJXVCI6Mn0%3D%7C1000&amp;sdata=3%2FDkj%2BwlFOBalP5Ja4Y8F2BrXm%2FfesboEErGB2C%2Bv%2Bc%3D&amp;reserved=0" TargetMode="External"/><Relationship Id="rId28" Type="http://schemas.openxmlformats.org/officeDocument/2006/relationships/hyperlink" Target="https://www.normattiva.it/uri-res/N2Ls?urn:nir:stato:legge:2012-12-24;228!vig=" TargetMode="External"/><Relationship Id="rId36" Type="http://schemas.openxmlformats.org/officeDocument/2006/relationships/image" Target="cid:image001.png@01D7D48D.2DEAD180" TargetMode="External"/><Relationship Id="rId10" Type="http://schemas.openxmlformats.org/officeDocument/2006/relationships/hyperlink" Target="https://eur02.safelinks.protection.outlook.com/?url=https%3A%2F%2Fpa.leggiditalia.it%2F%23id%3D10LX0000778684ART13%2C__m%3Ddocument&amp;data=04%7C01%7Celisa.quadraccia%40mef.gov.it%7C7be43216cf3c4a425ee808d9991910fb%7Ca7cc9c7eb24743fdac8a83d8fe99ac09%7C0%7C0%7C637709155205072955%7CUnknown%7CTWFpbGZsb3d8eyJWIjoiMC4wLjAwMDAiLCJQIjoiV2luMzIiLCJBTiI6Ik1haWwiLCJXVCI6Mn0%3D%7C1000&amp;sdata=YiZWh8qXRxYrDX4cCRuHU8WUw5k590EZcloyhgH7uoo%3D&amp;reserved=0" TargetMode="External"/><Relationship Id="rId19" Type="http://schemas.openxmlformats.org/officeDocument/2006/relationships/hyperlink" Target="https://eur02.safelinks.protection.outlook.com/?url=https%3A%2F%2Fentilocali.leggiditalia.it%2F%23id%3D10LX0000827965ART168%2C__m%3Ddocument&amp;data=04%7C01%7Celisa.quadraccia%40mef.gov.it%7C26186d26ffd84f46dcd208d99f727993%7Ca7cc9c7eb24743fdac8a83d8fe99ac09%7C0%7C0%7C637716136277797315%7CUnknown%7CTWFpbGZsb3d8eyJWIjoiMC4wLjAwMDAiLCJQIjoiV2luMzIiLCJBTiI6Ik1haWwiLCJXVCI6Mn0%3D%7C1000&amp;sdata=CXmaFl0Q7XcfQl8E3Mbez6jiesbgcgaEj8mVIDLYgVw%3D&amp;reserved=0" TargetMode="External"/><Relationship Id="rId31" Type="http://schemas.openxmlformats.org/officeDocument/2006/relationships/hyperlink" Target="https://www.entilocali.leggiditalia.it/"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entilocali.leggiditalia.it%2F%23id%3D10LX0000842458ART469%2C__m%3Ddocument&amp;data=04%7C01%7Celisa.quadraccia%40mef.gov.it%7C7be43216cf3c4a425ee808d9991910fb%7Ca7cc9c7eb24743fdac8a83d8fe99ac09%7C0%7C0%7C637709155205072955%7CUnknown%7CTWFpbGZsb3d8eyJWIjoiMC4wLjAwMDAiLCJQIjoiV2luMzIiLCJBTiI6Ik1haWwiLCJXVCI6Mn0%3D%7C1000&amp;sdata=NDJJqn86EX7HVdkuRAkGkBZAFM0NT5vhzKpat1nFgiQ%3D&amp;reserved=0" TargetMode="External"/><Relationship Id="rId14" Type="http://schemas.openxmlformats.org/officeDocument/2006/relationships/hyperlink" Target="https://eur02.safelinks.protection.outlook.com/?url=http%3A%2F%2Fbd01.leggiditalia.it%2Fcgi-bin%2FFulShow%3FTIPO%3D5%26NOTXT%3D1%26KEY%3D01LX0000888943ART227&amp;data=04%7C01%7Cmassimo.zeppieri%40mef.gov.it%7C249f1094ab944eef548108d99a0b9666%7Ca7cc9c7eb24743fdac8a83d8fe99ac09%7C0%7C0%7C637710196826220585%7CUnknown%7CTWFpbGZsb3d8eyJWIjoiMC4wLjAwMDAiLCJQIjoiV2luMzIiLCJBTiI6Ik1haWwiLCJXVCI6Mn0%3D%7C1000&amp;sdata=HZQo2lBj1vGYP3sj6TFK0t8MUHvrZCvy1pOkOH%2F0f3E%3D&amp;reserved=0" TargetMode="External"/><Relationship Id="rId22" Type="http://schemas.openxmlformats.org/officeDocument/2006/relationships/hyperlink" Target="http://bd01.leggiditalia.it/cgi-bin/FulShow?TIPO=5&amp;NOTXT=1&amp;KEY=01LX0000885325ART520" TargetMode="External"/><Relationship Id="rId27" Type="http://schemas.openxmlformats.org/officeDocument/2006/relationships/hyperlink" Target="http://www.gazzettaufficiale.it/eli/id/1994/02/09/094G0108/sg" TargetMode="External"/><Relationship Id="rId30" Type="http://schemas.openxmlformats.org/officeDocument/2006/relationships/hyperlink" Target="https://www.entilocali.leggiditalia.it/" TargetMode="External"/><Relationship Id="rId35"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DA02-A791-4446-957E-2DC4C6B3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73139</Words>
  <Characters>416896</Characters>
  <Application>Microsoft Office Word</Application>
  <DocSecurity>4</DocSecurity>
  <Lines>3474</Lines>
  <Paragraphs>978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Giovannelli</dc:creator>
  <cp:keywords/>
  <dc:description/>
  <cp:lastModifiedBy>Paola Alagia</cp:lastModifiedBy>
  <cp:revision>2</cp:revision>
  <cp:lastPrinted>2021-11-10T09:31:00Z</cp:lastPrinted>
  <dcterms:created xsi:type="dcterms:W3CDTF">2021-11-11T13:57:00Z</dcterms:created>
  <dcterms:modified xsi:type="dcterms:W3CDTF">2021-11-11T13:57:00Z</dcterms:modified>
</cp:coreProperties>
</file>